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5"/>
        <w:rPr>
          <w:rFonts w:ascii="宋体" w:hAnsi="宋体" w:cs="宋体"/>
          <w:color w:val="auto"/>
          <w:sz w:val="18"/>
          <w:highlight w:val="none"/>
        </w:rPr>
      </w:pPr>
      <w:r>
        <w:rPr>
          <w:rFonts w:ascii="宋体" w:hAnsi="宋体" w:cs="宋体"/>
          <w:color w:val="auto"/>
          <w:sz w:val="18"/>
          <w:highlight w:val="none"/>
        </w:rPr>
      </w:r>
      <w:r/>
    </w:p>
    <w:p>
      <w:pPr>
        <w:rPr>
          <w:rFonts w:ascii="宋体" w:hAnsi="宋体" w:cs="宋体"/>
          <w:b/>
          <w:color w:val="auto"/>
          <w:spacing w:val="76"/>
          <w:highlight w:val="none"/>
        </w:rPr>
      </w:pPr>
      <w:r>
        <w:rPr>
          <w:rFonts w:ascii="宋体" w:hAnsi="宋体" w:cs="宋体"/>
          <w:b/>
          <w:color w:val="auto"/>
          <w:spacing w:val="76"/>
          <w:highlight w:val="none"/>
        </w:rPr>
      </w:r>
      <w:r/>
    </w:p>
    <w:p>
      <w:pPr>
        <w:pStyle w:val="911"/>
        <w:rPr>
          <w:rFonts w:ascii="宋体" w:hAnsi="宋体" w:cs="宋体"/>
          <w:b/>
          <w:color w:val="auto"/>
          <w:spacing w:val="76"/>
          <w:highlight w:val="none"/>
        </w:rPr>
      </w:pPr>
      <w:r>
        <w:rPr>
          <w:rFonts w:ascii="宋体" w:hAnsi="宋体" w:cs="宋体"/>
          <w:b/>
          <w:color w:val="auto"/>
          <w:spacing w:val="76"/>
          <w:highlight w:val="none"/>
        </w:rPr>
      </w:r>
      <w:r/>
    </w:p>
    <w:p>
      <w:pPr>
        <w:pStyle w:val="911"/>
        <w:rPr>
          <w:rFonts w:ascii="宋体" w:hAnsi="宋体" w:cs="宋体"/>
          <w:b/>
          <w:color w:val="auto"/>
          <w:spacing w:val="76"/>
          <w:highlight w:val="none"/>
        </w:rPr>
      </w:pPr>
      <w:r>
        <w:rPr>
          <w:rFonts w:ascii="宋体" w:hAnsi="宋体" w:cs="宋体"/>
          <w:b/>
          <w:color w:val="auto"/>
          <w:spacing w:val="76"/>
          <w:highlight w:val="none"/>
        </w:rPr>
      </w:r>
      <w:r/>
    </w:p>
    <w:p>
      <w:pPr>
        <w:pStyle w:val="918"/>
        <w:ind w:firstLine="0"/>
        <w:rPr>
          <w:rFonts w:ascii="宋体" w:hAnsi="宋体" w:cs="宋体"/>
          <w:b/>
          <w:color w:val="auto"/>
          <w:spacing w:val="76"/>
          <w:highlight w:val="none"/>
        </w:rPr>
      </w:pPr>
      <w:r>
        <w:rPr>
          <w:rFonts w:ascii="宋体" w:hAnsi="宋体" w:cs="宋体"/>
          <w:b/>
          <w:color w:val="auto"/>
          <w:spacing w:val="76"/>
          <w:highlight w:val="none"/>
        </w:rPr>
      </w:r>
      <w:r/>
    </w:p>
    <w:p>
      <w:pPr>
        <w:pStyle w:val="918"/>
        <w:rPr>
          <w:rFonts w:ascii="宋体" w:hAnsi="宋体" w:cs="宋体"/>
          <w:b/>
          <w:color w:val="auto"/>
          <w:spacing w:val="76"/>
          <w:highlight w:val="none"/>
        </w:rPr>
      </w:pPr>
      <w:r>
        <w:rPr>
          <w:rFonts w:ascii="宋体" w:hAnsi="宋体" w:cs="宋体"/>
          <w:b/>
          <w:color w:val="auto"/>
          <w:spacing w:val="76"/>
          <w:highlight w:val="none"/>
        </w:rPr>
      </w:r>
      <w:r/>
    </w:p>
    <w:p>
      <w:pPr>
        <w:jc w:val="center"/>
        <w:rPr>
          <w:rFonts w:ascii="宋体" w:hAnsi="宋体" w:cs="宋体"/>
          <w:b/>
          <w:color w:val="auto"/>
          <w:spacing w:val="76"/>
          <w:sz w:val="144"/>
          <w:szCs w:val="144"/>
          <w:highlight w:val="none"/>
        </w:rPr>
      </w:pPr>
      <w:r>
        <w:rPr>
          <w:rFonts w:hint="eastAsia" w:ascii="宋体" w:hAnsi="宋体" w:cs="宋体"/>
          <w:b/>
          <w:color w:val="auto"/>
          <w:spacing w:val="76"/>
          <w:sz w:val="144"/>
          <w:szCs w:val="144"/>
          <w:highlight w:val="none"/>
        </w:rPr>
        <w:t xml:space="preserve">招标文件</w:t>
      </w:r>
      <w:r/>
    </w:p>
    <w:p>
      <w:pPr>
        <w:rPr>
          <w:rFonts w:ascii="宋体" w:hAnsi="宋体" w:cs="宋体"/>
          <w:b/>
          <w:color w:val="auto"/>
          <w:highlight w:val="none"/>
        </w:rPr>
      </w:pPr>
      <w:r>
        <w:rPr>
          <w:rFonts w:ascii="宋体" w:hAnsi="宋体" w:cs="宋体"/>
          <w:b/>
          <w:color w:val="auto"/>
          <w:highlight w:val="none"/>
        </w:rPr>
      </w:r>
      <w:r/>
    </w:p>
    <w:p>
      <w:pPr>
        <w:rPr>
          <w:rFonts w:ascii="宋体" w:hAnsi="宋体" w:cs="宋体"/>
          <w:b/>
          <w:color w:val="auto"/>
          <w:highlight w:val="none"/>
        </w:rPr>
      </w:pPr>
      <w:r>
        <w:rPr>
          <w:rFonts w:ascii="宋体" w:hAnsi="宋体" w:cs="宋体"/>
          <w:b/>
          <w:color w:val="auto"/>
          <w:highlight w:val="none"/>
        </w:rPr>
      </w:r>
      <w:r/>
    </w:p>
    <w:p>
      <w:pPr>
        <w:rPr>
          <w:rFonts w:ascii="宋体" w:hAnsi="宋体" w:cs="宋体"/>
          <w:b/>
          <w:color w:val="auto"/>
          <w:highlight w:val="none"/>
        </w:rPr>
      </w:pPr>
      <w:r>
        <w:rPr>
          <w:rFonts w:ascii="宋体" w:hAnsi="宋体" w:cs="宋体"/>
          <w:b/>
          <w:color w:val="auto"/>
          <w:highlight w:val="none"/>
        </w:rPr>
      </w:r>
      <w:r/>
    </w:p>
    <w:p>
      <w:pPr>
        <w:pStyle w:val="911"/>
        <w:rPr>
          <w:rFonts w:ascii="宋体" w:hAnsi="宋体" w:cs="宋体"/>
          <w:b/>
          <w:color w:val="auto"/>
          <w:highlight w:val="none"/>
        </w:rPr>
      </w:pPr>
      <w:r>
        <w:rPr>
          <w:rFonts w:ascii="宋体" w:hAnsi="宋体" w:cs="宋体"/>
          <w:b/>
          <w:color w:val="auto"/>
          <w:highlight w:val="none"/>
        </w:rPr>
      </w:r>
      <w:r/>
    </w:p>
    <w:p>
      <w:pPr>
        <w:rPr>
          <w:rFonts w:ascii="宋体" w:hAnsi="宋体" w:cs="宋体"/>
          <w:color w:val="auto"/>
          <w:sz w:val="24"/>
          <w:highlight w:val="none"/>
        </w:rPr>
      </w:pPr>
      <w:r>
        <w:rPr>
          <w:rFonts w:ascii="宋体" w:hAnsi="宋体" w:cs="宋体"/>
          <w:color w:val="auto"/>
          <w:sz w:val="24"/>
          <w:highlight w:val="none"/>
        </w:rPr>
      </w:r>
      <w:r/>
    </w:p>
    <w:p>
      <w:pPr>
        <w:pStyle w:val="918"/>
        <w:ind w:firstLine="0"/>
        <w:rPr>
          <w:rFonts w:ascii="宋体" w:hAnsi="宋体" w:cs="宋体"/>
          <w:color w:val="auto"/>
          <w:sz w:val="24"/>
          <w:highlight w:val="none"/>
        </w:rPr>
      </w:pPr>
      <w:r>
        <w:rPr>
          <w:rFonts w:ascii="宋体" w:hAnsi="宋体" w:cs="宋体"/>
          <w:color w:val="auto"/>
          <w:sz w:val="24"/>
          <w:highlight w:val="none"/>
        </w:rPr>
      </w:r>
      <w:r/>
    </w:p>
    <w:p>
      <w:pPr>
        <w:ind w:firstLine="640"/>
        <w:spacing w:line="360" w:lineRule="auto"/>
        <w:rPr>
          <w:rFonts w:ascii="宋体" w:hAnsi="宋体" w:cs="宋体"/>
          <w:color w:val="auto"/>
          <w:sz w:val="32"/>
          <w:szCs w:val="32"/>
          <w:highlight w:val="none"/>
        </w:rPr>
      </w:pPr>
      <w:r>
        <w:rPr>
          <w:rFonts w:hint="eastAsia" w:ascii="宋体" w:hAnsi="宋体" w:cs="宋体"/>
          <w:color w:val="auto"/>
          <w:sz w:val="32"/>
          <w:szCs w:val="32"/>
          <w:highlight w:val="none"/>
        </w:rPr>
        <w:t xml:space="preserve">项目编号：JSZC-320300-HWZX-G2025-0995</w:t>
      </w:r>
      <w:r/>
    </w:p>
    <w:p>
      <w:pPr>
        <w:spacing w:line="360" w:lineRule="auto"/>
        <w:rPr>
          <w:rFonts w:ascii="宋体" w:hAnsi="宋体" w:cs="宋体"/>
          <w:color w:val="auto"/>
          <w:sz w:val="32"/>
          <w:szCs w:val="32"/>
          <w:highlight w:val="none"/>
        </w:rPr>
      </w:pPr>
      <w:r>
        <w:rPr>
          <w:rFonts w:ascii="宋体" w:hAnsi="宋体" w:cs="宋体"/>
          <w:color w:val="auto"/>
          <w:sz w:val="32"/>
          <w:szCs w:val="32"/>
          <w:highlight w:val="none"/>
        </w:rPr>
      </w:r>
      <w:r/>
    </w:p>
    <w:p>
      <w:pPr>
        <w:ind w:firstLine="640"/>
        <w:spacing w:line="360" w:lineRule="auto"/>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 xml:space="preserve">项目名称：</w:t>
      </w:r>
      <w:r>
        <w:rPr>
          <w:rFonts w:hint="eastAsia" w:ascii="宋体" w:hAnsi="宋体" w:cs="宋体"/>
          <w:color w:val="auto"/>
          <w:sz w:val="32"/>
          <w:szCs w:val="32"/>
          <w:highlight w:val="none"/>
          <w:lang w:eastAsia="zh-CN"/>
        </w:rPr>
        <w:t xml:space="preserve">徐州市第一人民医院</w:t>
      </w:r>
      <w:r>
        <w:rPr>
          <w:rFonts w:hint="eastAsia" w:ascii="宋体" w:hAnsi="宋体" w:cs="宋体"/>
          <w:color w:val="auto"/>
          <w:sz w:val="32"/>
          <w:szCs w:val="32"/>
          <w:highlight w:val="none"/>
          <w:lang w:val="en-US" w:eastAsia="zh-CN"/>
        </w:rPr>
        <w:t xml:space="preserve">食堂</w:t>
      </w:r>
      <w:r>
        <w:rPr>
          <w:rFonts w:hint="eastAsia" w:ascii="宋体" w:hAnsi="宋体" w:cs="宋体"/>
          <w:color w:val="auto"/>
          <w:sz w:val="32"/>
          <w:szCs w:val="32"/>
          <w:highlight w:val="none"/>
          <w:lang w:eastAsia="zh-CN"/>
        </w:rPr>
        <w:t xml:space="preserve">原材料采购</w:t>
      </w:r>
      <w:r/>
    </w:p>
    <w:p>
      <w:pPr>
        <w:ind w:firstLine="960"/>
        <w:spacing w:line="360" w:lineRule="auto"/>
        <w:rPr>
          <w:rFonts w:ascii="宋体" w:hAnsi="宋体" w:cs="宋体"/>
          <w:color w:val="auto"/>
          <w:sz w:val="32"/>
          <w:szCs w:val="32"/>
          <w:highlight w:val="none"/>
        </w:rPr>
      </w:pPr>
      <w:r>
        <w:rPr>
          <w:rFonts w:ascii="宋体" w:hAnsi="宋体" w:cs="宋体"/>
          <w:color w:val="auto"/>
          <w:sz w:val="32"/>
          <w:szCs w:val="32"/>
          <w:highlight w:val="none"/>
        </w:rPr>
      </w:r>
      <w:r/>
    </w:p>
    <w:p>
      <w:pPr>
        <w:ind w:firstLine="640"/>
        <w:spacing w:line="360" w:lineRule="auto"/>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 xml:space="preserve">采 购 人：</w:t>
      </w:r>
      <w:r>
        <w:rPr>
          <w:rFonts w:hint="eastAsia" w:ascii="宋体" w:hAnsi="宋体" w:cs="宋体"/>
          <w:color w:val="auto"/>
          <w:sz w:val="32"/>
          <w:szCs w:val="32"/>
          <w:highlight w:val="none"/>
          <w:lang w:eastAsia="zh-CN"/>
        </w:rPr>
        <w:t xml:space="preserve">徐州市第一人民医院</w:t>
      </w:r>
      <w:r/>
    </w:p>
    <w:p>
      <w:pPr>
        <w:ind w:right="-159" w:firstLine="2112"/>
        <w:spacing w:line="300" w:lineRule="auto"/>
        <w:rPr>
          <w:rFonts w:ascii="宋体" w:hAnsi="宋体" w:cs="宋体"/>
          <w:color w:val="auto"/>
          <w:sz w:val="28"/>
          <w:szCs w:val="28"/>
          <w:highlight w:val="none"/>
        </w:rPr>
      </w:pPr>
      <w:r>
        <w:rPr>
          <w:rFonts w:ascii="宋体" w:hAnsi="宋体" w:cs="宋体"/>
          <w:color w:val="auto"/>
          <w:sz w:val="28"/>
          <w:szCs w:val="28"/>
          <w:highlight w:val="none"/>
        </w:rPr>
      </w:r>
      <w:r/>
    </w:p>
    <w:p>
      <w:pPr>
        <w:rPr>
          <w:rFonts w:ascii="宋体" w:hAnsi="宋体" w:cs="宋体"/>
          <w:color w:val="auto"/>
          <w:sz w:val="18"/>
          <w:highlight w:val="none"/>
        </w:rPr>
      </w:pPr>
      <w:r>
        <w:rPr>
          <w:rFonts w:ascii="宋体" w:hAnsi="宋体" w:cs="宋体"/>
          <w:color w:val="auto"/>
          <w:sz w:val="18"/>
          <w:highlight w:val="none"/>
        </w:rPr>
      </w:r>
      <w:r/>
    </w:p>
    <w:p>
      <w:pPr>
        <w:pStyle w:val="919"/>
        <w:ind w:firstLine="0"/>
        <w:rPr>
          <w:rFonts w:hAnsi="宋体" w:cs="宋体"/>
          <w:color w:val="auto"/>
          <w:sz w:val="16"/>
          <w:highlight w:val="none"/>
        </w:rPr>
      </w:pPr>
      <w:r>
        <w:rPr>
          <w:rFonts w:hAnsi="宋体" w:cs="宋体"/>
          <w:color w:val="auto"/>
          <w:sz w:val="16"/>
          <w:highlight w:val="none"/>
        </w:rPr>
      </w:r>
      <w:r/>
    </w:p>
    <w:p>
      <w:pPr>
        <w:rPr>
          <w:rFonts w:ascii="宋体" w:hAnsi="宋体" w:cs="宋体"/>
          <w:color w:val="auto"/>
          <w:sz w:val="18"/>
          <w:highlight w:val="none"/>
        </w:rPr>
      </w:pPr>
      <w:r>
        <w:rPr>
          <w:rFonts w:ascii="宋体" w:hAnsi="宋体" w:cs="宋体"/>
          <w:color w:val="auto"/>
          <w:sz w:val="18"/>
          <w:highlight w:val="none"/>
        </w:rPr>
      </w:r>
      <w:r/>
    </w:p>
    <w:p>
      <w:pPr>
        <w:pStyle w:val="930"/>
        <w:rPr>
          <w:rFonts w:ascii="宋体" w:hAnsi="宋体" w:cs="宋体"/>
          <w:color w:val="auto"/>
          <w:sz w:val="18"/>
          <w:highlight w:val="none"/>
        </w:rPr>
      </w:pPr>
      <w:r>
        <w:rPr>
          <w:rFonts w:ascii="宋体" w:hAnsi="宋体" w:cs="宋体"/>
          <w:color w:val="auto"/>
          <w:sz w:val="18"/>
          <w:highlight w:val="none"/>
        </w:rPr>
      </w:r>
      <w:r/>
    </w:p>
    <w:p>
      <w:pPr>
        <w:pStyle w:val="930"/>
        <w:rPr>
          <w:rFonts w:ascii="宋体" w:hAnsi="宋体" w:cs="宋体"/>
          <w:color w:val="auto"/>
          <w:sz w:val="18"/>
          <w:highlight w:val="none"/>
        </w:rPr>
      </w:pPr>
      <w:r>
        <w:rPr>
          <w:rFonts w:ascii="宋体" w:hAnsi="宋体" w:cs="宋体"/>
          <w:color w:val="auto"/>
          <w:sz w:val="18"/>
          <w:highlight w:val="none"/>
        </w:rPr>
      </w:r>
      <w:r/>
    </w:p>
    <w:p>
      <w:pPr>
        <w:pStyle w:val="930"/>
        <w:rPr>
          <w:rFonts w:ascii="宋体" w:hAnsi="宋体" w:cs="宋体"/>
          <w:color w:val="auto"/>
          <w:sz w:val="18"/>
          <w:highlight w:val="none"/>
        </w:rPr>
      </w:pPr>
      <w:r>
        <w:rPr>
          <w:rFonts w:ascii="宋体" w:hAnsi="宋体" w:cs="宋体"/>
          <w:color w:val="auto"/>
          <w:sz w:val="18"/>
          <w:highlight w:val="none"/>
        </w:rPr>
      </w:r>
      <w:r/>
    </w:p>
    <w:p>
      <w:pPr>
        <w:pStyle w:val="930"/>
        <w:rPr>
          <w:rFonts w:ascii="宋体" w:hAnsi="宋体" w:cs="宋体"/>
          <w:color w:val="auto"/>
          <w:sz w:val="18"/>
          <w:highlight w:val="none"/>
        </w:rPr>
      </w:pPr>
      <w:r>
        <w:rPr>
          <w:rFonts w:ascii="宋体" w:hAnsi="宋体" w:cs="宋体"/>
          <w:color w:val="auto"/>
          <w:sz w:val="18"/>
          <w:highlight w:val="none"/>
        </w:rPr>
      </w:r>
      <w:r/>
    </w:p>
    <w:p>
      <w:pPr>
        <w:ind w:right="-159" w:firstLine="1440"/>
        <w:spacing w:line="300" w:lineRule="auto"/>
        <w:rPr>
          <w:rFonts w:ascii="宋体" w:hAnsi="宋体" w:cs="宋体"/>
          <w:color w:val="auto"/>
          <w:sz w:val="36"/>
          <w:highlight w:val="none"/>
        </w:rPr>
      </w:pPr>
      <w:r>
        <w:rPr>
          <w:rFonts w:hint="eastAsia" w:ascii="宋体" w:hAnsi="宋体" w:cs="宋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2075815</wp:posOffset>
                </wp:positionH>
                <wp:positionV relativeFrom="paragraph">
                  <wp:posOffset>165735</wp:posOffset>
                </wp:positionV>
                <wp:extent cx="1237615" cy="457200"/>
                <wp:effectExtent l="0" t="0" r="635" b="0"/>
                <wp:wrapSquare wrapText="bothSides"/>
                <wp:docPr id="3" name="图片 4"/>
                <wp:cNvGraphicFramePr/>
                <a:graphic xmlns:a="http://schemas.openxmlformats.org/drawingml/2006/main">
                  <a:graphicData uri="http://schemas.openxmlformats.org/drawingml/2006/picture">
                    <pic:pic xmlns:pic="http://schemas.openxmlformats.org/drawingml/2006/picture">
                      <pic:nvPicPr>
                        <pic:cNvPr id="3" name="图片 4"/>
                        <pic:cNvPicPr/>
                        <pic:nvPr/>
                      </pic:nvPicPr>
                      <pic:blipFill>
                        <a:blip r:embed="rId14"/>
                        <a:stretch/>
                      </pic:blipFill>
                      <pic:spPr bwMode="auto">
                        <a:xfrm>
                          <a:off x="0" y="0"/>
                          <a:ext cx="1237615" cy="4572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163.4pt;mso-position-horizontal:absolute;mso-position-vertical-relative:text;margin-top:13.0pt;mso-position-vertical:absolute;width:97.4pt;height:36.0pt;mso-wrap-distance-left:9.0pt;mso-wrap-distance-top:0.0pt;mso-wrap-distance-right:9.0pt;mso-wrap-distance-bottom:0.0pt;" stroked="f">
                <v:path textboxrect="0,0,0,0"/>
                <w10:wrap type="square"/>
                <v:imagedata r:id="rId14" o:title=""/>
              </v:shape>
            </w:pict>
          </mc:Fallback>
        </mc:AlternateContent>
      </w:r>
      <w:r/>
    </w:p>
    <w:p>
      <w:pPr>
        <w:ind w:right="-159" w:firstLine="2112"/>
        <w:spacing w:line="300" w:lineRule="auto"/>
        <w:rPr>
          <w:rFonts w:ascii="宋体" w:hAnsi="宋体" w:cs="宋体"/>
          <w:color w:val="auto"/>
          <w:sz w:val="36"/>
          <w:highlight w:val="none"/>
        </w:rPr>
      </w:pPr>
      <w:r>
        <w:rPr>
          <w:rFonts w:ascii="宋体" w:hAnsi="宋体" w:cs="宋体"/>
          <w:color w:val="auto"/>
          <w:sz w:val="36"/>
          <w:highlight w:val="none"/>
        </w:rPr>
      </w:r>
      <w:r/>
    </w:p>
    <w:p>
      <w:pPr>
        <w:jc w:val="cente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采购代理机构：江苏海外集团国际工程咨询有限公司</w:t>
      </w:r>
      <w:r/>
    </w:p>
    <w:p>
      <w:pPr>
        <w:jc w:val="center"/>
        <w:spacing w:line="360" w:lineRule="auto"/>
        <w:rPr>
          <w:rFonts w:ascii="宋体" w:hAnsi="宋体" w:cs="宋体"/>
          <w:color w:val="auto"/>
          <w:sz w:val="28"/>
          <w:szCs w:val="28"/>
          <w:highlight w:val="none"/>
        </w:rPr>
      </w:pPr>
      <w:r>
        <w:rPr>
          <w:rFonts w:hint="eastAsia" w:ascii="宋体" w:hAnsi="宋体" w:cs="宋体"/>
          <w:bCs/>
          <w:color w:val="auto"/>
          <w:sz w:val="28"/>
          <w:szCs w:val="28"/>
          <w:highlight w:val="none"/>
        </w:rPr>
        <w:t xml:space="preserve">二〇二五年</w:t>
      </w:r>
      <w:r>
        <w:rPr>
          <w:rFonts w:hint="eastAsia" w:ascii="宋体" w:hAnsi="宋体" w:cs="宋体"/>
          <w:bCs/>
          <w:color w:val="auto"/>
          <w:sz w:val="28"/>
          <w:szCs w:val="28"/>
          <w:highlight w:val="none"/>
          <w:lang w:val="en-US" w:eastAsia="zh-CN"/>
        </w:rPr>
        <w:t xml:space="preserve">十二</w:t>
      </w:r>
      <w:r>
        <w:rPr>
          <w:rFonts w:hint="eastAsia" w:ascii="宋体" w:hAnsi="宋体" w:cs="宋体"/>
          <w:bCs/>
          <w:color w:val="auto"/>
          <w:sz w:val="28"/>
          <w:szCs w:val="28"/>
          <w:highlight w:val="none"/>
        </w:rPr>
        <w:t xml:space="preserve">月</w:t>
      </w:r>
      <w:r/>
    </w:p>
    <w:p>
      <w:pPr>
        <w:jc w:val="center"/>
        <w:rPr>
          <w:rFonts w:ascii="宋体" w:hAnsi="宋体" w:cs="宋体"/>
          <w:b/>
          <w:color w:val="auto"/>
          <w:sz w:val="36"/>
          <w:highlight w:val="none"/>
        </w:rPr>
        <w:pBdr>
          <w:top w:val="none" w:color="000000" w:sz="0" w:space="0"/>
          <w:left w:val="none" w:color="000000" w:sz="0" w:space="0"/>
          <w:bottom w:val="none" w:color="000000" w:sz="0" w:space="0"/>
          <w:right w:val="none" w:color="000000" w:sz="0" w:space="0"/>
        </w:pBdr>
        <w:sectPr>
          <w:headerReference w:type="default" r:id="rId9"/>
          <w:footerReference w:type="default" r:id="rId11"/>
          <w:footnotePr/>
          <w:endnotePr/>
          <w:type w:val="nextPage"/>
          <w:pgSz w:w="11906" w:h="16838" w:orient="portrait"/>
          <w:pgMar w:top="1440" w:right="1803" w:bottom="1440" w:left="1803" w:header="851" w:footer="992" w:gutter="0"/>
          <w:cols w:num="1" w:sep="0" w:space="1701" w:equalWidth="1"/>
          <w:docGrid w:linePitch="360"/>
        </w:sectPr>
      </w:pPr>
      <w:r>
        <w:rPr>
          <w:rFonts w:ascii="宋体" w:hAnsi="宋体" w:cs="宋体"/>
          <w:b/>
          <w:color w:val="auto"/>
          <w:sz w:val="36"/>
          <w:highlight w:val="none"/>
        </w:rPr>
      </w:r>
      <w:r/>
    </w:p>
    <w:p>
      <w:pPr>
        <w:jc w:val="center"/>
        <w:rPr>
          <w:rFonts w:ascii="宋体" w:hAnsi="宋体" w:cs="宋体"/>
          <w:color w:val="auto"/>
          <w:sz w:val="1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6"/>
          <w:highlight w:val="none"/>
        </w:rPr>
        <w:t xml:space="preserve">目 录</w:t>
      </w:r>
      <w:r/>
    </w:p>
    <w:p>
      <w:pPr>
        <w:jc w:val="center"/>
        <w:spacing w:line="519" w:lineRule="atLeast"/>
        <w:rPr>
          <w:rFonts w:ascii="宋体" w:hAnsi="宋体" w:cs="宋体"/>
          <w:color w:val="auto"/>
          <w:sz w:val="1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18"/>
          <w:highlight w:val="none"/>
        </w:rPr>
      </w:r>
      <w:r/>
    </w:p>
    <w:p>
      <w:pPr>
        <w:jc w:val="center"/>
        <w:spacing w:line="519" w:lineRule="atLeast"/>
        <w:rPr>
          <w:rFonts w:ascii="宋体" w:hAnsi="宋体" w:cs="宋体"/>
          <w:color w:val="auto"/>
          <w:sz w:val="1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18"/>
          <w:highlight w:val="none"/>
        </w:rPr>
      </w:r>
      <w:r/>
    </w:p>
    <w:p>
      <w:pPr>
        <w:ind w:firstLine="210"/>
        <w:rPr>
          <w:rFonts w:ascii="宋体" w:hAnsi="宋体" w:cs="宋体"/>
          <w:color w:val="auto"/>
          <w:sz w:val="18"/>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"_Toc523404695" \o "http://jszfcg.jsczt.cn/jszc/onlyoffice/6.4.2-6/web-apps/apps/documenteditor/main/index.html?_dc=6.4.2-6&amp;lang=zh&amp;customer=ONLYOFFICE&amp;frameEditorId=iframePage&amp;parentOrigin=http://jszfcg.jsczt.cn#_Toc523404695" </w:instrText>
      </w:r>
      <w:r>
        <w:rPr>
          <w:color w:val="auto"/>
          <w:highlight w:val="none"/>
        </w:rPr>
        <w:fldChar w:fldCharType="separate"/>
      </w:r>
      <w:r>
        <w:rPr>
          <w:rStyle w:val="931"/>
          <w:rFonts w:hint="eastAsia" w:ascii="宋体" w:hAnsi="宋体" w:cs="宋体"/>
          <w:color w:val="auto"/>
          <w:sz w:val="24"/>
          <w:highlight w:val="none"/>
          <w:u w:val="none"/>
        </w:rPr>
        <w:t xml:space="preserve">第一章  投标邀请</w:t>
      </w:r>
      <w:r>
        <w:rPr>
          <w:rStyle w:val="931"/>
          <w:rFonts w:hint="eastAsia" w:ascii="宋体" w:hAnsi="宋体" w:cs="宋体"/>
          <w:color w:val="auto"/>
          <w:sz w:val="24"/>
          <w:highlight w:val="none"/>
          <w:u w:val="none"/>
        </w:rPr>
        <w:fldChar w:fldCharType="end"/>
      </w:r>
      <w:r/>
    </w:p>
    <w:p>
      <w:pPr>
        <w:rPr>
          <w:rFonts w:ascii="宋体" w:hAnsi="宋体" w:cs="宋体"/>
          <w:color w:val="auto"/>
          <w:sz w:val="1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18"/>
          <w:highlight w:val="none"/>
        </w:rPr>
      </w:r>
      <w:r/>
    </w:p>
    <w:p>
      <w:pPr>
        <w:ind w:firstLine="210"/>
        <w:rPr>
          <w:rFonts w:ascii="宋体" w:hAnsi="宋体" w:cs="宋体"/>
          <w:color w:val="auto"/>
          <w:sz w:val="18"/>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"_Toc523404696" \o "http://jszfcg.jsczt.cn/jszc/onlyoffice/6.4.2-6/web-apps/apps/documenteditor/main/index.html?_dc=6.4.2-6&amp;lang=zh&amp;customer=ONLYOFFICE&amp;frameEditorId=iframePage&amp;parentOrigin=http://jszfcg.jsczt.cn#_Toc523404696" </w:instrText>
      </w:r>
      <w:r>
        <w:rPr>
          <w:color w:val="auto"/>
          <w:highlight w:val="none"/>
        </w:rPr>
        <w:fldChar w:fldCharType="separate"/>
      </w:r>
      <w:r>
        <w:rPr>
          <w:rStyle w:val="931"/>
          <w:rFonts w:hint="eastAsia" w:ascii="宋体" w:hAnsi="宋体" w:cs="宋体"/>
          <w:color w:val="auto"/>
          <w:sz w:val="24"/>
          <w:highlight w:val="none"/>
          <w:u w:val="none"/>
        </w:rPr>
        <w:t xml:space="preserve">第二章  投标人须知</w:t>
      </w:r>
      <w:r>
        <w:rPr>
          <w:rStyle w:val="931"/>
          <w:rFonts w:hint="eastAsia" w:ascii="宋体" w:hAnsi="宋体" w:cs="宋体"/>
          <w:color w:val="auto"/>
          <w:sz w:val="24"/>
          <w:highlight w:val="none"/>
          <w:u w:val="none"/>
        </w:rPr>
        <w:fldChar w:fldCharType="end"/>
      </w:r>
      <w:r/>
    </w:p>
    <w:p>
      <w:pPr>
        <w:rPr>
          <w:rFonts w:ascii="宋体" w:hAnsi="宋体" w:cs="宋体"/>
          <w:color w:val="auto"/>
          <w:sz w:val="1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18"/>
          <w:highlight w:val="none"/>
        </w:rPr>
      </w:r>
      <w:r/>
    </w:p>
    <w:p>
      <w:pPr>
        <w:ind w:firstLine="210"/>
        <w:rPr>
          <w:rFonts w:ascii="宋体" w:hAnsi="宋体" w:cs="宋体"/>
          <w:color w:val="auto"/>
          <w:sz w:val="18"/>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"_Toc523404697" \o "http://jszfcg.jsczt.cn/jszc/onlyoffice/6.4.2-6/web-apps/apps/documenteditor/main/index.html?_dc=6.4.2-6&amp;lang=zh&amp;customer=ONLYOFFICE&amp;frameEditorId=iframePage&amp;parentOrigin=http://jszfcg.jsczt.cn#_Toc523404697" </w:instrText>
      </w:r>
      <w:r>
        <w:rPr>
          <w:color w:val="auto"/>
          <w:highlight w:val="none"/>
        </w:rPr>
        <w:fldChar w:fldCharType="separate"/>
      </w:r>
      <w:r>
        <w:rPr>
          <w:rStyle w:val="931"/>
          <w:rFonts w:hint="eastAsia" w:ascii="宋体" w:hAnsi="宋体" w:cs="宋体"/>
          <w:color w:val="auto"/>
          <w:sz w:val="24"/>
          <w:highlight w:val="none"/>
          <w:u w:val="none"/>
        </w:rPr>
        <w:t xml:space="preserve">第三章  投标资料表</w:t>
      </w:r>
      <w:r>
        <w:rPr>
          <w:rStyle w:val="931"/>
          <w:rFonts w:hint="eastAsia" w:ascii="宋体" w:hAnsi="宋体" w:cs="宋体"/>
          <w:color w:val="auto"/>
          <w:sz w:val="24"/>
          <w:highlight w:val="none"/>
          <w:u w:val="none"/>
        </w:rPr>
        <w:fldChar w:fldCharType="end"/>
      </w:r>
      <w:r/>
    </w:p>
    <w:p>
      <w:pPr>
        <w:rPr>
          <w:rFonts w:ascii="宋体" w:hAnsi="宋体" w:cs="宋体"/>
          <w:color w:val="auto"/>
          <w:sz w:val="1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18"/>
          <w:highlight w:val="none"/>
        </w:rPr>
      </w:r>
      <w:r/>
    </w:p>
    <w:p>
      <w:pPr>
        <w:ind w:firstLine="210"/>
        <w:rPr>
          <w:rFonts w:ascii="宋体" w:hAnsi="宋体" w:cs="宋体"/>
          <w:color w:val="auto"/>
          <w:sz w:val="18"/>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"_Toc523404698" \o "http://jszfcg.jsczt.cn/jszc/onlyoffice/6.4.2-6/web-apps/apps/documenteditor/main/index.html?_dc=6.4.2-6&amp;lang=zh&amp;customer=ONLYOFFICE&amp;frameEditorId=iframePage&amp;parentOrigin=http://jszfcg.jsczt.cn#_Toc523404698" </w:instrText>
      </w:r>
      <w:r>
        <w:rPr>
          <w:color w:val="auto"/>
          <w:highlight w:val="none"/>
        </w:rPr>
        <w:fldChar w:fldCharType="separate"/>
      </w:r>
      <w:r>
        <w:rPr>
          <w:rStyle w:val="931"/>
          <w:rFonts w:hint="eastAsia" w:ascii="宋体" w:hAnsi="宋体" w:cs="宋体"/>
          <w:color w:val="auto"/>
          <w:sz w:val="24"/>
          <w:highlight w:val="none"/>
          <w:u w:val="none"/>
        </w:rPr>
        <w:t xml:space="preserve">第四章  评标标准</w:t>
      </w:r>
      <w:r>
        <w:rPr>
          <w:rStyle w:val="931"/>
          <w:rFonts w:hint="eastAsia" w:ascii="宋体" w:hAnsi="宋体" w:cs="宋体"/>
          <w:color w:val="auto"/>
          <w:sz w:val="24"/>
          <w:highlight w:val="none"/>
          <w:u w:val="none"/>
        </w:rPr>
        <w:fldChar w:fldCharType="end"/>
      </w:r>
      <w:r/>
    </w:p>
    <w:p>
      <w:pPr>
        <w:rPr>
          <w:rFonts w:ascii="宋体" w:hAnsi="宋体" w:cs="宋体"/>
          <w:color w:val="auto"/>
          <w:sz w:val="1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18"/>
          <w:highlight w:val="none"/>
        </w:rPr>
      </w:r>
      <w:r/>
    </w:p>
    <w:p>
      <w:pPr>
        <w:ind w:firstLine="210"/>
        <w:rPr>
          <w:rFonts w:ascii="宋体" w:hAnsi="宋体" w:cs="宋体"/>
          <w:color w:val="auto"/>
          <w:sz w:val="18"/>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"_Toc523404699" \o "http://jszfcg.jsczt.cn/jszc/onlyoffice/6.4.2-6/web-apps/apps/documenteditor/main/index.html?_dc=6.4.2-6&amp;lang=zh&amp;customer=ONLYOFFICE&amp;frameEditorId=iframePage&amp;parentOrigin=http://jszfcg.jsczt.cn#_Toc523404699" </w:instrText>
      </w:r>
      <w:r>
        <w:rPr>
          <w:color w:val="auto"/>
          <w:highlight w:val="none"/>
        </w:rPr>
        <w:fldChar w:fldCharType="separate"/>
      </w:r>
      <w:r>
        <w:rPr>
          <w:rStyle w:val="931"/>
          <w:rFonts w:hint="eastAsia" w:ascii="宋体" w:hAnsi="宋体" w:cs="宋体"/>
          <w:color w:val="auto"/>
          <w:sz w:val="24"/>
          <w:highlight w:val="none"/>
          <w:u w:val="none"/>
        </w:rPr>
        <w:t xml:space="preserve">第五章  拟签订的合同文本</w:t>
      </w:r>
      <w:r>
        <w:rPr>
          <w:rStyle w:val="931"/>
          <w:rFonts w:hint="eastAsia" w:ascii="宋体" w:hAnsi="宋体" w:cs="宋体"/>
          <w:color w:val="auto"/>
          <w:sz w:val="24"/>
          <w:highlight w:val="none"/>
          <w:u w:val="none"/>
        </w:rPr>
        <w:fldChar w:fldCharType="end"/>
      </w:r>
      <w:r/>
    </w:p>
    <w:p>
      <w:pPr>
        <w:rPr>
          <w:rFonts w:ascii="宋体" w:hAnsi="宋体" w:cs="宋体"/>
          <w:color w:val="auto"/>
          <w:sz w:val="1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18"/>
          <w:highlight w:val="none"/>
        </w:rPr>
      </w:r>
      <w:r/>
    </w:p>
    <w:p>
      <w:pPr>
        <w:ind w:firstLine="210"/>
        <w:rPr>
          <w:rFonts w:ascii="宋体" w:hAnsi="宋体" w:cs="宋体"/>
          <w:color w:val="auto"/>
          <w:sz w:val="18"/>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"_Toc523404700" \o "http://jszfcg.jsczt.cn/jszc/onlyoffice/6.4.2-6/web-apps/apps/documenteditor/main/index.html?_dc=6.4.2-6&amp;lang=zh&amp;customer=ONLYOFFICE&amp;frameEditorId=iframePage&amp;parentOrigin=http://jszfcg.jsczt.cn#_Toc523404700" </w:instrText>
      </w:r>
      <w:r>
        <w:rPr>
          <w:color w:val="auto"/>
          <w:highlight w:val="none"/>
        </w:rPr>
        <w:fldChar w:fldCharType="separate"/>
      </w:r>
      <w:r>
        <w:rPr>
          <w:rStyle w:val="931"/>
          <w:rFonts w:hint="eastAsia" w:ascii="宋体" w:hAnsi="宋体" w:cs="宋体"/>
          <w:color w:val="auto"/>
          <w:sz w:val="24"/>
          <w:highlight w:val="none"/>
          <w:u w:val="none"/>
        </w:rPr>
        <w:t xml:space="preserve">第六章  采购需求</w:t>
      </w:r>
      <w:r>
        <w:rPr>
          <w:rStyle w:val="931"/>
          <w:rFonts w:hint="eastAsia" w:ascii="宋体" w:hAnsi="宋体" w:cs="宋体"/>
          <w:color w:val="auto"/>
          <w:sz w:val="24"/>
          <w:highlight w:val="none"/>
          <w:u w:val="none"/>
        </w:rPr>
        <w:fldChar w:fldCharType="end"/>
      </w:r>
      <w:r/>
    </w:p>
    <w:p>
      <w:pPr>
        <w:rPr>
          <w:rFonts w:ascii="宋体" w:hAnsi="宋体" w:cs="宋体"/>
          <w:color w:val="auto"/>
          <w:sz w:val="1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18"/>
          <w:highlight w:val="none"/>
        </w:rPr>
      </w:r>
      <w:r/>
    </w:p>
    <w:p>
      <w:pPr>
        <w:ind w:firstLine="210"/>
        <w:rPr>
          <w:rFonts w:ascii="宋体" w:hAnsi="宋体" w:cs="宋体"/>
          <w:color w:val="auto"/>
          <w:sz w:val="18"/>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"_Toc523404701" \o "http://jszfcg.jsczt.cn/jszc/onlyoffice/6.4.2-6/web-apps/apps/documenteditor/main/index.html?_dc=6.4.2-6&amp;lang=zh&amp;customer=ONLYOFFICE&amp;frameEditorId=iframePage&amp;parentOrigin=http://jszfcg.jsczt.cn#_Toc523404701" </w:instrText>
      </w:r>
      <w:r>
        <w:rPr>
          <w:color w:val="auto"/>
          <w:highlight w:val="none"/>
        </w:rPr>
        <w:fldChar w:fldCharType="separate"/>
      </w:r>
      <w:r>
        <w:rPr>
          <w:rStyle w:val="931"/>
          <w:rFonts w:hint="eastAsia" w:ascii="宋体" w:hAnsi="宋体" w:cs="宋体"/>
          <w:color w:val="auto"/>
          <w:sz w:val="24"/>
          <w:highlight w:val="none"/>
          <w:u w:val="none"/>
        </w:rPr>
        <w:t xml:space="preserve">第七章  投标文件相关格式</w:t>
      </w:r>
      <w:r>
        <w:rPr>
          <w:rStyle w:val="931"/>
          <w:rFonts w:hint="eastAsia" w:ascii="宋体" w:hAnsi="宋体" w:cs="宋体"/>
          <w:color w:val="auto"/>
          <w:sz w:val="24"/>
          <w:highlight w:val="none"/>
          <w:u w:val="none"/>
        </w:rPr>
        <w:fldChar w:fldCharType="end"/>
      </w:r>
      <w:r/>
    </w:p>
    <w:p>
      <w:pPr>
        <w:jc w:val="center"/>
        <w:spacing w:line="519" w:lineRule="atLeast"/>
        <w:rPr>
          <w:rFonts w:ascii="宋体" w:hAnsi="宋体" w:cs="宋体"/>
          <w:color w:val="auto"/>
          <w:sz w:val="1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18"/>
          <w:highlight w:val="none"/>
        </w:rPr>
      </w:r>
      <w:r/>
    </w:p>
    <w:p>
      <w:pPr>
        <w:jc w:val="center"/>
        <w:spacing w:line="519" w:lineRule="atLeast"/>
        <w:rPr>
          <w:rFonts w:ascii="宋体" w:hAnsi="宋体" w:cs="宋体"/>
          <w:b/>
          <w:color w:val="auto"/>
          <w:sz w:val="36"/>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ascii="宋体" w:hAnsi="宋体" w:cs="宋体"/>
          <w:b/>
          <w:color w:val="auto"/>
          <w:sz w:val="36"/>
          <w:highlight w:val="none"/>
        </w:rPr>
      </w:r>
      <w:r/>
    </w:p>
    <w:p>
      <w:pPr>
        <w:jc w:val="center"/>
        <w:rPr>
          <w:rFonts w:hint="eastAsia" w:ascii="宋体" w:hAnsi="宋体" w:eastAsia="宋体" w:cs="宋体"/>
          <w:b/>
          <w:color w:val="auto"/>
          <w:sz w:val="36"/>
          <w:szCs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6"/>
          <w:szCs w:val="44"/>
          <w:highlight w:val="none"/>
          <w:lang w:eastAsia="zh-CN"/>
        </w:rPr>
        <w:t xml:space="preserve">徐州市第一人民医院</w:t>
      </w:r>
      <w:r/>
    </w:p>
    <w:p>
      <w:pPr>
        <w:jc w:val="center"/>
        <w:rPr>
          <w:rFonts w:ascii="宋体" w:hAnsi="宋体" w:cs="宋体"/>
          <w:b/>
          <w:color w:val="auto"/>
          <w:sz w:val="36"/>
          <w:szCs w:val="4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6"/>
          <w:szCs w:val="44"/>
          <w:highlight w:val="none"/>
        </w:rPr>
        <w:t xml:space="preserve">《</w:t>
      </w:r>
      <w:r>
        <w:rPr>
          <w:rFonts w:hint="eastAsia" w:ascii="宋体" w:hAnsi="宋体" w:cs="宋体"/>
          <w:b/>
          <w:color w:val="auto"/>
          <w:sz w:val="36"/>
          <w:szCs w:val="44"/>
          <w:highlight w:val="none"/>
          <w:lang w:eastAsia="zh-CN"/>
        </w:rPr>
        <w:t xml:space="preserve">徐州市第一人民医院</w:t>
      </w:r>
      <w:r>
        <w:rPr>
          <w:rFonts w:hint="eastAsia" w:ascii="宋体" w:hAnsi="宋体" w:cs="宋体"/>
          <w:b/>
          <w:color w:val="auto"/>
          <w:sz w:val="36"/>
          <w:szCs w:val="44"/>
          <w:highlight w:val="none"/>
          <w:lang w:val="en-US" w:eastAsia="zh-CN"/>
        </w:rPr>
        <w:t xml:space="preserve">食堂</w:t>
      </w:r>
      <w:r>
        <w:rPr>
          <w:rFonts w:hint="eastAsia" w:ascii="宋体" w:hAnsi="宋体" w:cs="宋体"/>
          <w:b/>
          <w:color w:val="auto"/>
          <w:sz w:val="36"/>
          <w:szCs w:val="44"/>
          <w:highlight w:val="none"/>
          <w:lang w:eastAsia="zh-CN"/>
        </w:rPr>
        <w:t xml:space="preserve">原材料采购</w:t>
      </w:r>
      <w:r>
        <w:rPr>
          <w:rFonts w:hint="eastAsia" w:ascii="宋体" w:hAnsi="宋体" w:cs="宋体"/>
          <w:b/>
          <w:color w:val="auto"/>
          <w:sz w:val="36"/>
          <w:szCs w:val="44"/>
          <w:highlight w:val="none"/>
        </w:rPr>
        <w:t xml:space="preserve">》</w:t>
      </w:r>
      <w:r/>
    </w:p>
    <w:p>
      <w:pPr>
        <w:jc w:val="center"/>
        <w:spacing w:line="360" w:lineRule="auto"/>
        <w:rPr>
          <w:rFonts w:ascii="宋体" w:hAnsi="宋体" w:cs="宋体"/>
          <w:color w:val="auto"/>
          <w:sz w:val="36"/>
          <w:szCs w:val="4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6"/>
          <w:szCs w:val="44"/>
          <w:highlight w:val="none"/>
        </w:rPr>
        <w:t xml:space="preserve">招标文件</w:t>
      </w:r>
      <w:r/>
    </w:p>
    <w:p>
      <w:pPr>
        <w:ind w:firstLine="600"/>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jc w:val="center"/>
        <w:spacing w:line="240" w:lineRule="auto"/>
        <w:rPr>
          <w:rFonts w:hint="eastAsia"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24"/>
          <w:szCs w:val="24"/>
          <w:highlight w:val="none"/>
        </w:rPr>
      </w:r>
      <w:r/>
    </w:p>
    <w:p>
      <w:pPr>
        <w:jc w:val="center"/>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28"/>
          <w:szCs w:val="28"/>
          <w:highlight w:val="none"/>
        </w:rPr>
        <w:t xml:space="preserve">第一章 投标邀请</w:t>
      </w:r>
      <w:r/>
    </w:p>
    <w:p>
      <w:pPr>
        <w:ind w:firstLine="480"/>
        <w:keepLines w:val="0"/>
        <w:keepNext w:val="0"/>
        <w:pageBreakBefore w:val="0"/>
        <w:spacing w:line="36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u w:val="single"/>
        </w:rPr>
        <w:t xml:space="preserve">江苏海外集团国际工程咨询有限公司</w:t>
      </w:r>
      <w:r>
        <w:rPr>
          <w:rFonts w:hint="eastAsia" w:ascii="宋体" w:hAnsi="宋体" w:cs="宋体"/>
          <w:color w:val="auto"/>
          <w:sz w:val="24"/>
          <w:szCs w:val="24"/>
          <w:highlight w:val="none"/>
        </w:rPr>
        <w:t xml:space="preserve">对</w:t>
      </w:r>
      <w:r>
        <w:rPr>
          <w:rFonts w:hint="eastAsia" w:ascii="宋体" w:hAnsi="宋体" w:cs="宋体"/>
          <w:color w:val="auto"/>
          <w:sz w:val="24"/>
          <w:szCs w:val="24"/>
          <w:highlight w:val="none"/>
          <w:u w:val="single"/>
          <w:lang w:eastAsia="zh-CN"/>
        </w:rPr>
        <w:t xml:space="preserve">徐州市第一人民医院食堂原材料采购</w:t>
      </w:r>
      <w:r>
        <w:rPr>
          <w:rFonts w:hint="eastAsia" w:ascii="宋体" w:hAnsi="宋体" w:cs="宋体"/>
          <w:color w:val="auto"/>
          <w:sz w:val="24"/>
          <w:szCs w:val="24"/>
          <w:highlight w:val="none"/>
        </w:rPr>
        <w:t xml:space="preserve">项目进行公开招标采购，现邀请符合相关条件的供应商投标。</w:t>
      </w:r>
      <w:r/>
    </w:p>
    <w:p>
      <w:pPr>
        <w:keepLines w:val="0"/>
        <w:keepNext w:val="0"/>
        <w:pageBreakBefore w:val="0"/>
        <w:spacing w:line="360" w:lineRule="auto"/>
        <w:widowControl w:val="off"/>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一、项目名称和项目编号</w:t>
      </w:r>
      <w:r/>
    </w:p>
    <w:p>
      <w:pPr>
        <w:keepLines w:val="0"/>
        <w:keepNext w:val="0"/>
        <w:pageBreakBefore w:val="0"/>
        <w:spacing w:line="36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一</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徐州市第一人民医院食堂原材料采购</w:t>
      </w:r>
      <w:r>
        <w:rPr>
          <w:rFonts w:hint="eastAsia" w:ascii="宋体" w:hAnsi="宋体" w:cs="宋体"/>
          <w:color w:val="auto"/>
          <w:sz w:val="24"/>
          <w:szCs w:val="24"/>
          <w:highlight w:val="none"/>
        </w:rPr>
        <w:t xml:space="preserve">。</w:t>
      </w:r>
      <w:r/>
    </w:p>
    <w:p>
      <w:pPr>
        <w:keepLines w:val="0"/>
        <w:keepNext w:val="0"/>
        <w:pageBreakBefore w:val="0"/>
        <w:spacing w:line="36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二</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项目编号：JSZC-320300-HWZX-G2025-0995</w:t>
      </w:r>
      <w:r/>
    </w:p>
    <w:p>
      <w:pPr>
        <w:keepLines w:val="0"/>
        <w:keepNext w:val="0"/>
        <w:pageBreakBefore w:val="0"/>
        <w:spacing w:line="360" w:lineRule="auto"/>
        <w:widowControl w:val="off"/>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二、对投标人的资格要求</w:t>
      </w:r>
      <w:r/>
    </w:p>
    <w:p>
      <w:pPr>
        <w:keepLines w:val="0"/>
        <w:keepNext w:val="0"/>
        <w:pageBreakBefore w:val="0"/>
        <w:spacing w:line="36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详见本项目公开招标公告。</w:t>
      </w:r>
      <w:r/>
    </w:p>
    <w:p>
      <w:pPr>
        <w:keepLines w:val="0"/>
        <w:keepNext w:val="0"/>
        <w:pageBreakBefore w:val="0"/>
        <w:spacing w:line="360" w:lineRule="auto"/>
        <w:widowControl w:val="off"/>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三、获取招标文件</w:t>
      </w:r>
      <w:r/>
    </w:p>
    <w:p>
      <w:pPr>
        <w:keepLines w:val="0"/>
        <w:keepNext w:val="0"/>
        <w:pageBreakBefore w:val="0"/>
        <w:spacing w:line="36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（一）潜在投标人访问电子招标投标交易平台的网络地址和方法：</w:t>
      </w:r>
      <w:r/>
    </w:p>
    <w:p>
      <w:pPr>
        <w:keepLines w:val="0"/>
        <w:keepNext w:val="0"/>
        <w:pageBreakBefore w:val="0"/>
        <w:spacing w:line="36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jc w:val="left"/>
        <w:keepLines w:val="0"/>
        <w:keepNext w:val="0"/>
        <w:pageBreakBefore w:val="0"/>
        <w:spacing w:line="36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潜在供应商访问“苏采云”系统的网络地址和方法：“苏采云”系统的网址：http://jszfcg.jsczt.cn/；或进入徐州政府采购网（网址：http://czj.xz.gov.cn/Home/HomeIndex）--业务工作--用户登录，点击“苏采云”进入系统。</w:t>
      </w:r>
      <w:r/>
    </w:p>
    <w:p>
      <w:pPr>
        <w:keepLines w:val="0"/>
        <w:keepNext w:val="0"/>
        <w:pageBreakBefore w:val="0"/>
        <w:spacing w:line="36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（3）“CA数字证书”的获取：</w:t>
      </w:r>
      <w:r/>
    </w:p>
    <w:p>
      <w:pPr>
        <w:keepLines w:val="0"/>
        <w:keepNext w:val="0"/>
        <w:pageBreakBefore w:val="0"/>
        <w:spacing w:line="36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keepLines w:val="0"/>
        <w:keepNext w:val="0"/>
        <w:pageBreakBefore w:val="0"/>
        <w:spacing w:line="36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keepLines w:val="0"/>
        <w:keepNext w:val="0"/>
        <w:pageBreakBefore w:val="0"/>
        <w:spacing w:line="36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（二）采购代理机构将数据电文形式的招标文件加载至电子招标投标交易平台，供潜在投标人下载或者查阅。</w:t>
      </w:r>
      <w:r/>
    </w:p>
    <w:p>
      <w:pPr>
        <w:keepLines w:val="0"/>
        <w:keepNext w:val="0"/>
        <w:pageBreakBefore w:val="0"/>
        <w:spacing w:line="36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（三）售价：免费。</w:t>
      </w:r>
      <w:r/>
    </w:p>
    <w:p>
      <w:pPr>
        <w:keepLines w:val="0"/>
        <w:keepNext w:val="0"/>
        <w:pageBreakBefore w:val="0"/>
        <w:spacing w:line="360" w:lineRule="auto"/>
        <w:widowControl w:val="off"/>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四、投标有关信息</w:t>
      </w:r>
      <w:r/>
    </w:p>
    <w:p>
      <w:pPr>
        <w:keepLines w:val="0"/>
        <w:keepNext w:val="0"/>
        <w:pageBreakBefore w:val="0"/>
        <w:spacing w:line="36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（一）投标截止时间：</w:t>
      </w:r>
      <w:r>
        <w:rPr>
          <w:rFonts w:hint="eastAsia" w:ascii="宋体" w:hAnsi="宋体" w:cs="宋体"/>
          <w:b/>
          <w:color w:val="auto"/>
          <w:sz w:val="24"/>
          <w:szCs w:val="24"/>
          <w:highlight w:val="none"/>
        </w:rPr>
        <w:t xml:space="preserve">202</w:t>
      </w:r>
      <w:r>
        <w:rPr>
          <w:rFonts w:hint="eastAsia" w:ascii="宋体" w:hAnsi="宋体" w:cs="宋体"/>
          <w:b/>
          <w:color w:val="auto"/>
          <w:sz w:val="24"/>
          <w:szCs w:val="24"/>
          <w:highlight w:val="none"/>
          <w:lang w:val="en-US" w:eastAsia="zh-CN"/>
        </w:rPr>
        <w:t xml:space="preserve">6</w:t>
      </w:r>
      <w:r>
        <w:rPr>
          <w:rFonts w:hint="eastAsia" w:ascii="宋体" w:hAnsi="宋体" w:cs="宋体"/>
          <w:b/>
          <w:color w:val="auto"/>
          <w:sz w:val="24"/>
          <w:szCs w:val="24"/>
          <w:highlight w:val="none"/>
        </w:rPr>
        <w:t xml:space="preserve">年</w:t>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u w:val="single"/>
          <w:lang w:val="en-US" w:eastAsia="zh-CN"/>
        </w:rPr>
        <w:t xml:space="preserve">1</w:t>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rPr>
        <w:t xml:space="preserve">月</w:t>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u w:val="single"/>
          <w:lang w:val="en-US" w:eastAsia="zh-CN"/>
        </w:rPr>
        <w:t xml:space="preserve">21</w:t>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rPr>
        <w:t xml:space="preserve">日北京时间09：30</w:t>
      </w:r>
      <w:r>
        <w:rPr>
          <w:rFonts w:hint="eastAsia" w:ascii="宋体" w:hAnsi="宋体" w:cs="宋体"/>
          <w:color w:val="auto"/>
          <w:sz w:val="24"/>
          <w:szCs w:val="24"/>
          <w:highlight w:val="none"/>
        </w:rPr>
        <w:t xml:space="preserve">。</w:t>
      </w:r>
      <w:r/>
    </w:p>
    <w:p>
      <w:pPr>
        <w:keepLines w:val="0"/>
        <w:keepNext w:val="0"/>
        <w:pageBreakBefore w:val="0"/>
        <w:spacing w:line="36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（二）开标时间：</w:t>
      </w:r>
      <w:r>
        <w:rPr>
          <w:rFonts w:hint="eastAsia" w:ascii="宋体" w:hAnsi="宋体" w:cs="宋体"/>
          <w:b/>
          <w:color w:val="auto"/>
          <w:sz w:val="24"/>
          <w:szCs w:val="24"/>
          <w:highlight w:val="none"/>
        </w:rPr>
        <w:t xml:space="preserve">202</w:t>
      </w:r>
      <w:r>
        <w:rPr>
          <w:rFonts w:hint="eastAsia" w:ascii="宋体" w:hAnsi="宋体" w:cs="宋体"/>
          <w:b/>
          <w:color w:val="auto"/>
          <w:sz w:val="24"/>
          <w:szCs w:val="24"/>
          <w:highlight w:val="none"/>
          <w:lang w:val="en-US" w:eastAsia="zh-CN"/>
        </w:rPr>
        <w:t xml:space="preserve">6</w:t>
      </w:r>
      <w:r>
        <w:rPr>
          <w:rFonts w:hint="eastAsia" w:ascii="宋体" w:hAnsi="宋体" w:cs="宋体"/>
          <w:b/>
          <w:color w:val="auto"/>
          <w:sz w:val="24"/>
          <w:szCs w:val="24"/>
          <w:highlight w:val="none"/>
        </w:rPr>
        <w:t xml:space="preserve">年</w:t>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u w:val="single"/>
          <w:lang w:val="en-US" w:eastAsia="zh-CN"/>
        </w:rPr>
        <w:t xml:space="preserve">1</w:t>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rPr>
        <w:t xml:space="preserve">月</w:t>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u w:val="single"/>
          <w:lang w:val="en-US" w:eastAsia="zh-CN"/>
        </w:rPr>
        <w:t xml:space="preserve">21 </w:t>
      </w:r>
      <w:r>
        <w:rPr>
          <w:rFonts w:hint="eastAsia" w:ascii="宋体" w:hAnsi="宋体" w:cs="宋体"/>
          <w:b/>
          <w:color w:val="auto"/>
          <w:sz w:val="24"/>
          <w:szCs w:val="24"/>
          <w:highlight w:val="none"/>
        </w:rPr>
        <w:t xml:space="preserve">日北京时间09：30</w:t>
      </w:r>
      <w:r>
        <w:rPr>
          <w:rFonts w:hint="eastAsia" w:ascii="宋体" w:hAnsi="宋体" w:cs="宋体"/>
          <w:color w:val="auto"/>
          <w:sz w:val="24"/>
          <w:szCs w:val="24"/>
          <w:highlight w:val="none"/>
        </w:rPr>
        <w:t xml:space="preserve">。</w:t>
      </w:r>
      <w:r/>
    </w:p>
    <w:p>
      <w:pPr>
        <w:keepLines w:val="0"/>
        <w:keepNext w:val="0"/>
        <w:pageBreakBefore w:val="0"/>
        <w:spacing w:line="36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（三）开标地点：“苏采云”系统“开标大厅”或进入徐州政府采购网--业务工作--用户登录，点击“苏采云”进入系统“开标大厅”。</w:t>
      </w:r>
      <w:r/>
    </w:p>
    <w:p>
      <w:pPr>
        <w:keepLines w:val="0"/>
        <w:keepNext w:val="0"/>
        <w:pageBreakBefore w:val="0"/>
        <w:spacing w:line="360" w:lineRule="auto"/>
        <w:widowControl w:val="off"/>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五、采购人</w:t>
      </w:r>
      <w:r/>
    </w:p>
    <w:p>
      <w:pPr>
        <w:keepLines w:val="0"/>
        <w:keepNext w:val="0"/>
        <w:pageBreakBefore w:val="0"/>
        <w:spacing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（一）名称：</w:t>
      </w:r>
      <w:r>
        <w:rPr>
          <w:rFonts w:hint="eastAsia" w:ascii="宋体" w:hAnsi="宋体" w:cs="宋体"/>
          <w:color w:val="auto"/>
          <w:sz w:val="24"/>
          <w:szCs w:val="24"/>
          <w:highlight w:val="none"/>
          <w:lang w:eastAsia="zh-CN"/>
        </w:rPr>
        <w:t xml:space="preserve">徐州市第一人民医院</w:t>
      </w:r>
      <w:r/>
    </w:p>
    <w:p>
      <w:pPr>
        <w:keepLines w:val="0"/>
        <w:keepNext w:val="0"/>
        <w:pageBreakBefore w:val="0"/>
        <w:spacing w:line="36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（二）地址：徐州市铜山区大学路269号</w:t>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（三）采购项目联系人：</w:t>
      </w:r>
      <w:r>
        <w:rPr>
          <w:rFonts w:hint="eastAsia" w:ascii="宋体" w:hAnsi="宋体" w:cs="宋体"/>
          <w:color w:val="auto"/>
          <w:sz w:val="24"/>
          <w:szCs w:val="24"/>
          <w:highlight w:val="none"/>
          <w:lang w:val="en-US" w:eastAsia="zh-CN"/>
        </w:rPr>
        <w:t xml:space="preserve">张衡</w:t>
      </w:r>
      <w:r/>
    </w:p>
    <w:p>
      <w:pPr>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（四）联系方式：</w:t>
      </w:r>
      <w:r>
        <w:rPr>
          <w:rFonts w:hint="eastAsia" w:ascii="宋体" w:hAnsi="宋体" w:cs="宋体"/>
          <w:color w:val="auto"/>
          <w:sz w:val="24"/>
          <w:szCs w:val="24"/>
          <w:highlight w:val="none"/>
          <w:lang w:val="en-US" w:eastAsia="zh-CN"/>
        </w:rPr>
        <w:t xml:space="preserve">15205210710</w:t>
      </w:r>
      <w:r/>
    </w:p>
    <w:p>
      <w:pPr>
        <w:keepLines w:val="0"/>
        <w:keepNext w:val="0"/>
        <w:pageBreakBefore w:val="0"/>
        <w:spacing w:line="360" w:lineRule="auto"/>
        <w:widowControl w:val="off"/>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六、采购代理机构</w:t>
      </w:r>
      <w:r/>
    </w:p>
    <w:p>
      <w:pPr>
        <w:keepLines w:val="0"/>
        <w:keepNext w:val="0"/>
        <w:pageBreakBefore w:val="0"/>
        <w:spacing w:line="36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（一）名称：江苏海外集团国际工程咨询有限公司</w:t>
      </w:r>
      <w:r/>
    </w:p>
    <w:p>
      <w:pPr>
        <w:keepLines w:val="0"/>
        <w:keepNext w:val="0"/>
        <w:pageBreakBefore w:val="0"/>
        <w:spacing w:line="36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（二）地址：江苏省徐州市泉山区金山东路北侧徐州软件园C-11号楼1011室</w:t>
      </w:r>
      <w:r/>
    </w:p>
    <w:p>
      <w:pPr>
        <w:keepLines w:val="0"/>
        <w:keepNext w:val="0"/>
        <w:pageBreakBefore w:val="0"/>
        <w:spacing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（三）采购项目联系人：</w:t>
      </w:r>
      <w:r>
        <w:rPr>
          <w:rFonts w:hint="eastAsia" w:ascii="宋体" w:hAnsi="宋体" w:cs="宋体"/>
          <w:color w:val="auto"/>
          <w:sz w:val="24"/>
          <w:szCs w:val="24"/>
          <w:highlight w:val="none"/>
          <w:lang w:val="en-US" w:eastAsia="zh-CN"/>
        </w:rPr>
        <w:t xml:space="preserve">王一冰</w:t>
      </w:r>
      <w:r/>
    </w:p>
    <w:p>
      <w:pPr>
        <w:keepLines w:val="0"/>
        <w:keepNext w:val="0"/>
        <w:pageBreakBefore w:val="0"/>
        <w:spacing w:line="36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（四）联系方式：0516-83999206 </w:t>
      </w:r>
      <w:r/>
    </w:p>
    <w:p>
      <w:pPr>
        <w:ind w:firstLine="600"/>
        <w:spacing w:line="360" w:lineRule="atLeast"/>
        <w:rPr>
          <w:rFonts w:ascii="宋体" w:hAnsi="宋体" w:cs="宋体"/>
          <w:color w:val="auto"/>
          <w:sz w:val="1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jc w:val="center"/>
        <w:spacing w:line="720" w:lineRule="atLeast"/>
        <w:rPr>
          <w:rFonts w:ascii="宋体" w:hAnsi="宋体" w:cs="宋体"/>
          <w:b/>
          <w:color w:val="auto"/>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outlineLvl w:val="0"/>
      </w:pPr>
      <w:r>
        <w:rPr>
          <w:rFonts w:ascii="宋体" w:hAnsi="宋体" w:cs="宋体"/>
          <w:b/>
          <w:color w:val="auto"/>
          <w:sz w:val="24"/>
          <w:highlight w:val="none"/>
        </w:rPr>
      </w:r>
      <w:r/>
    </w:p>
    <w:p>
      <w:pPr>
        <w:jc w:val="center"/>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28"/>
          <w:szCs w:val="28"/>
          <w:highlight w:val="none"/>
        </w:rPr>
        <w:t xml:space="preserve">第二章 投标人须知</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一、总则</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（一）采购人。采购人即指依法进行政府采购的国家机关、事业单位和团体组织。</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（二）政府招标采购方式。政府采购货物或服务（以下简称“货物服务”）的招标方式，分为公开招标和邀请招标。</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（三）采购人在采购货物服务的招标投标活动中，应当贯彻落实“节约能源、保护环境、扶持不发达地区和少数民族地区和促进中小企业发展”等政府采购政策。</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（五）采购人委托采购代理机构代理招标的，采购代理机构必须在采购人委托的范围内依法开展采购活动。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（六）投标人的资格条件：</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投标人是指响应招标、参加投标竞争的法人、其他组织或者自然人。</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2.投标人授权代表系指法定代表人或受法人委托的受托人。</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（七）投标费用：投标人应承担所有与准备和参加投标有关的费用。无论投标的结果如何，采购代理机构对上述费用不承担任何责任和义务。</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二、招标</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（八）招标文件应包括以下内容：</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第一章，投标邀请；</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第二章，投标人须知；</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第三章，投标资料表；</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第四章，评标标准；</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第五章，拟签订的合同文本；</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第六章，采购需求；</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第七章，投标文件相关格式。</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（九）招标文件澄清或者修改：</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2.现场考察以本文件第三章《投标资料表》中的要求为准。</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3.开标前答疑会以本文件第三章《投标资料表》中的要求为准。</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三、投标</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（十）投标人应当按照招标文件的要求编制投标文件。投标文件应对招标文件提出的要求和条件作出实质性响应。</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（十一）投标文件的语言。投标文件以及投标人与采购代理机构就有关投标的往来函电均应使用本文件第三章《投标资料表》规定的语言书写，否则无效。</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（十二）投标文件的构成：</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1.投标文件的构成以本文件第三章《投标资料表》中的要求为准。</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2.投标人应当提交的资格、资信证明文件，以本文件第三章《投标资料表》中的所提要求为准。</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（十三）投标函和价格表、商务条件、交货和提供服务的时间：</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1.投标函和价格表的要求见本章（十二）、（十三），格式见本文件第七章《投标文件相关格式》中《投标函》和《开标一览表》。</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2.商务条件以本文件第三章《投标资料表》中的要求为准。</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3.交货和提供服务的时间，以本文件第三章《投标资料表》中所提要求为准。</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（十四）投标报价要求：</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1.投标人应按照招标文件的要求报出分项价格和总价。</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2.投标人应按照招标文件的要求进行报价，如投标人作出偏离，应在《偏离表》中列出。</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3.采购人不支付报价以外的任何费用。</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4.投标人所报的价格，在合同执行过程中是固定的，不得以任何理由予以变更。投标人提交滑动价格的投标文件，在资格性、符合性检查时按照无效投标处理。</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5.投标人只能提交一个投标价格，投标人提交多个价格的投标文件，在资格性、符合性检查时按照无效投标处理。</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（十五）投标货币。以本文件第三章《投标资料表》中所提要求为准。</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（十六）投标有效期：</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1.投标有效期为开标之日后90天。采购人可以要求对投标有效期延长一次，但该延长期最长不得超过30天。</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3.如果采购人发出要求延长投标有效期的通知，并在投标有效期届满前，没有收到投标人同意的书面通知，则视为该投标人不接受上述延期的要求。</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（十七）投标文件的编制要求和签署要求：</w:t>
      </w:r>
      <w:r/>
    </w:p>
    <w:p>
      <w:pPr>
        <w:ind w:firstLine="482"/>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（1）投标人应由其法定代表人或法定代表人授权代表在规定的网上投标时间，凭 CA 证书登录“苏采云”系统在线编制投标文件（电子数据），并在投标截止时间之前上传投标文件。</w:t>
      </w:r>
      <w:r/>
    </w:p>
    <w:p>
      <w:pPr>
        <w:ind w:firstLine="482"/>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（2）投标人应对 CA 证书妥善保管，如被他人盗用投标，因此带来的结果均由投标人自行承担。</w:t>
      </w:r>
      <w:r/>
    </w:p>
    <w:p>
      <w:pPr>
        <w:ind w:firstLine="482"/>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（3）投标人应当对招标文件提出的要求和条件作出实质性响应，并在电子投标系统逐条应答。</w:t>
      </w:r>
      <w:r/>
    </w:p>
    <w:p>
      <w:pPr>
        <w:ind w:firstLine="482"/>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（4）投标人应对要求提供的资格证明文件（如资质证书、资格证书）、技术资料（如白皮书、彩页、手册、检测报告等）扫描上传至投标系统。</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（十八）投标文件的盖章要求</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1.投标文件的盖章要求以招标文件第三章《投标资料表》中的要求为准。</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（十九）提交投标文件的截止时间和收到投标文件后注意事项。投标人应在招标文件要求的提交投标文件的截止时间前，将投标文件提交至“苏采云”系统。</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（二十）凡在招标文件要求提交投标文件的截止时间之后送达的投标文件，均为无效投标文件，“苏采云”系统将自动拒收。 各投标人应在规定时间内通过 CA 证书进行网上解密。</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（二十二）本项目不允许分包。</w:t>
      </w:r>
      <w:r/>
    </w:p>
    <w:p>
      <w:pPr>
        <w:ind w:firstLine="600"/>
        <w:spacing w:line="360" w:lineRule="auto"/>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（二十三）投标人应当遵循公平竞争的原则，不得恶意串通，不得妨碍其他投标人的竞争行为，不得损害采购人或者其他投标人的合法权益。</w:t>
      </w:r>
      <w:r/>
    </w:p>
    <w:p>
      <w:pPr>
        <w:ind w:firstLine="600"/>
        <w:spacing w:line="360" w:lineRule="auto"/>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在评标过程中发现投标人有上述情形的，评标委员会应当认定其投标无效，并书面报告本级财政部门。</w:t>
      </w:r>
      <w:r/>
    </w:p>
    <w:p>
      <w:pPr>
        <w:ind w:firstLine="600"/>
        <w:spacing w:line="360" w:lineRule="auto"/>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（二十四）有下列情形之一的，其投标无效。</w:t>
      </w:r>
      <w:r/>
    </w:p>
    <w:p>
      <w:pPr>
        <w:ind w:firstLine="600"/>
        <w:spacing w:line="360" w:lineRule="auto"/>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1.不同投标人的投标文件，由同一单位或者个人编制；</w:t>
      </w:r>
      <w:r/>
    </w:p>
    <w:p>
      <w:pPr>
        <w:ind w:firstLine="600"/>
        <w:spacing w:line="360" w:lineRule="auto"/>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2.不同投标人委托同一单位或者个人办理投标事宜；</w:t>
      </w:r>
      <w:r/>
    </w:p>
    <w:p>
      <w:pPr>
        <w:ind w:firstLine="600"/>
        <w:spacing w:line="360" w:lineRule="auto"/>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3.不同投标人的投标文件中，所载明的项目管理成员或联系人为同一人；</w:t>
      </w:r>
      <w:r/>
    </w:p>
    <w:p>
      <w:pPr>
        <w:ind w:firstLine="600"/>
        <w:spacing w:line="360" w:lineRule="auto"/>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4.不同投标人的投标文件，异常一致或者投标报价呈规律性差异；</w:t>
      </w:r>
      <w:r/>
    </w:p>
    <w:p>
      <w:pPr>
        <w:ind w:firstLine="600"/>
        <w:spacing w:line="360" w:lineRule="auto"/>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5.不同投标人的投标文件相互混装；</w:t>
      </w:r>
      <w:r/>
    </w:p>
    <w:p>
      <w:pPr>
        <w:ind w:firstLine="600"/>
        <w:spacing w:line="360" w:lineRule="auto"/>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6.不同投标人投标文件内容存在非正常一致、项目组成员出现同一人、投标文件中错误（或异常）一致或雷同、电子文档信息一致或雷同的、投标报价呈规律性差异的；</w:t>
      </w:r>
      <w:r/>
    </w:p>
    <w:p>
      <w:pPr>
        <w:ind w:firstLine="600"/>
        <w:spacing w:line="360" w:lineRule="auto"/>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7.电子投标文件未按规定期限投标的；</w:t>
      </w:r>
      <w:r/>
    </w:p>
    <w:p>
      <w:pPr>
        <w:ind w:firstLine="600"/>
        <w:spacing w:line="360" w:lineRule="auto"/>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8.电子投标文件未按招标文件要求签章的；</w:t>
      </w:r>
      <w:r/>
    </w:p>
    <w:p>
      <w:pPr>
        <w:ind w:firstLine="600"/>
        <w:spacing w:line="360" w:lineRule="auto"/>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9.投标人未在规定时间内解密电子投标文件的；</w:t>
      </w:r>
      <w:r/>
    </w:p>
    <w:p>
      <w:pPr>
        <w:ind w:firstLine="600"/>
        <w:spacing w:line="360" w:lineRule="auto"/>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10.投标文件未按招标文件规定的内容和要求填写的；没有在投标系统指定位置上传对应文件、材料的。</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11.投标文件未按招标文件要求签署、盖章的；</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12.不具备招标文件中规定的资格要求的；</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13.报价超过招标文件中规定的预算金额或者最高限价的；</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14.投标文件含有采购人不能接受的附加条件的；</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15.法律、法规和招标文件规定的其他无效情形。</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四、开标</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（二十五）开标：</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1.所有投标单位凭 CA 证书在到达开标时间时，解密各自投标文件，由工作人员操作系统进行开标、并宣读各投标人的《开标一览表》。</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2.投标人不足3家的，不得开标。</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3.开标过程由采购代理机构负责记录。</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4.投标人代表对开标过程和开标记录有疑义的，或者认为采购人、采购代理机构相关工作人员有需要回避情形的，应当场提出询问或者提出回避申请。</w:t>
      </w:r>
      <w:r/>
    </w:p>
    <w:p>
      <w:pPr>
        <w:ind w:firstLine="600"/>
        <w:spacing w:line="360" w:lineRule="auto"/>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5.投标人未参加开标的，视同认可开标结果。</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五、评标</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（二十六）公开招标采购项目开标结束后，采购人依法对投标人的资格进行审查。合格投标人不足3家的，不得评标。</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1.评标工作由采购代理机构负责组织，并履行下列职责：</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（1）核对评审专家身份和采购人代表授权函，对评审专家在政府采购活动中的职责履行情况予以记录，并及时将有关违法违规行为向财政部门报告；</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（2）宣布评标纪律；</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（3）公布投标人名单，告知评审专家应当回避的情形；</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（4）组织评标委员会推选评标组长（采购人代表不得担任组长）；</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（5）在评标期间采取必要的通讯管理措施，保证评标活动不受外界干扰；</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（6）根据评标委员会的要求介绍政府采购相关政策法规、招标文件；</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（8）核对评标结果，对有《</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"http://www.caigou2003.com/" \o "http://www.caigou2003.com/" </w:instrText>
      </w:r>
      <w:r>
        <w:rPr>
          <w:rFonts w:hint="eastAsia" w:ascii="宋体" w:hAnsi="宋体" w:eastAsia="宋体" w:cs="宋体"/>
          <w:color w:val="auto"/>
          <w:sz w:val="24"/>
          <w:szCs w:val="24"/>
          <w:highlight w:val="none"/>
        </w:rPr>
        <w:fldChar w:fldCharType="separate"/>
      </w:r>
      <w:r>
        <w:rPr>
          <w:rStyle w:val="931"/>
          <w:rFonts w:hint="eastAsia" w:ascii="宋体" w:hAnsi="宋体" w:eastAsia="宋体" w:cs="宋体"/>
          <w:color w:val="auto"/>
          <w:sz w:val="24"/>
          <w:szCs w:val="24"/>
          <w:highlight w:val="none"/>
          <w:u w:val="none"/>
        </w:rPr>
        <w:t xml:space="preserve">政府采购</w:t>
      </w:r>
      <w:r>
        <w:rPr>
          <w:rStyle w:val="931"/>
          <w:rFonts w:hint="eastAsia" w:ascii="宋体" w:hAnsi="宋体" w:eastAsia="宋体" w:cs="宋体"/>
          <w:color w:val="auto"/>
          <w:sz w:val="24"/>
          <w:szCs w:val="24"/>
          <w:highlight w:val="none"/>
          <w:u w:val="none"/>
        </w:rPr>
        <w:fldChar w:fldCharType="end"/>
      </w:r>
      <w:r>
        <w:rPr>
          <w:rFonts w:hint="eastAsia" w:ascii="宋体" w:hAnsi="宋体" w:eastAsia="宋体" w:cs="宋体"/>
          <w:color w:val="auto"/>
          <w:sz w:val="24"/>
          <w:szCs w:val="24"/>
          <w:highlight w:val="none"/>
        </w:rPr>
        <w:t xml:space="preserve">货物和服务招标投标管理办法》第六十四条规定情形的，应要求评标委员会复核或者书面说明理由，评标委员会拒绝的，应予记录并向本级财政部门报告；</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（9）评审工作完成后，按照规定向评审专家支付劳务报酬和异地评审差旅费，不得向评审专家以外的其他人员支付评审劳务报酬； </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（10）处理与评标有关的其他事项。</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2.评标委员会负责具体评标事务，并独立履行下列职责：</w:t>
      </w:r>
      <w:r/>
    </w:p>
    <w:p>
      <w:pPr>
        <w:ind w:firstLine="45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（1）审查、评价投标文件是否符合招标文件的商务、技术等实质性要求；</w:t>
      </w:r>
      <w:r/>
    </w:p>
    <w:p>
      <w:pPr>
        <w:ind w:firstLine="45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（2）要求投标人对投标文件有关事项作出澄清或者说明；</w:t>
      </w:r>
      <w:r/>
    </w:p>
    <w:p>
      <w:pPr>
        <w:ind w:firstLine="45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（3）对投标文件进行比较和评价；</w:t>
      </w:r>
      <w:r/>
    </w:p>
    <w:p>
      <w:pPr>
        <w:ind w:firstLine="45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（4）确定中标候选人名单，以及根据采购人委托直接确定中标人；</w:t>
      </w:r>
      <w:r/>
    </w:p>
    <w:p>
      <w:pPr>
        <w:ind w:firstLine="45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（5）向采购人、采购代理机构或有关部门报告评标中发现的违法行为。</w:t>
      </w:r>
      <w:r/>
    </w:p>
    <w:p>
      <w:pPr>
        <w:ind w:firstLine="45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（二十七）评标方法分为最低评标价法和综合评分法。</w:t>
      </w:r>
      <w:r/>
    </w:p>
    <w:p>
      <w:pPr>
        <w:ind w:firstLine="45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（二十八）评标</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1.评标工作程序：</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（1）投标文件初审。</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①资格性审查。</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②符合性审查。</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（2）澄清有关问题。</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（3）比较与评价。</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（4）推荐中标候选供应商名单。</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（5）编写评审报告（评标报告）。</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2.在评标中，不得改变招标文件中规定的评标标准、方法和中标条件。评标委员会对投标文件响应性的判定，要基于投标文件本身的内容，而不得寻求外部的证据。</w:t>
      </w:r>
      <w:r/>
    </w:p>
    <w:p>
      <w:pPr>
        <w:ind w:firstLine="600"/>
        <w:spacing w:line="360" w:lineRule="auto"/>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3.采用</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"http://lilun.caigou2003.com/recijiedu/2365668.html" \o "http://lilun.caigou2003.com/recijiedu/2365668.html" </w:instrText>
      </w:r>
      <w:r>
        <w:rPr>
          <w:rFonts w:hint="eastAsia" w:ascii="宋体" w:hAnsi="宋体" w:eastAsia="宋体" w:cs="宋体"/>
          <w:color w:val="auto"/>
          <w:sz w:val="24"/>
          <w:szCs w:val="24"/>
          <w:highlight w:val="none"/>
        </w:rPr>
        <w:fldChar w:fldCharType="separate"/>
      </w:r>
      <w:r>
        <w:rPr>
          <w:rStyle w:val="931"/>
          <w:rFonts w:hint="eastAsia" w:ascii="宋体" w:hAnsi="宋体" w:eastAsia="宋体" w:cs="宋体"/>
          <w:color w:val="auto"/>
          <w:sz w:val="24"/>
          <w:szCs w:val="24"/>
          <w:highlight w:val="none"/>
          <w:u w:val="none"/>
        </w:rPr>
        <w:t xml:space="preserve">最低评标价法</w:t>
      </w:r>
      <w:r>
        <w:rPr>
          <w:rStyle w:val="931"/>
          <w:rFonts w:hint="eastAsia" w:ascii="宋体" w:hAnsi="宋体" w:eastAsia="宋体" w:cs="宋体"/>
          <w:color w:val="auto"/>
          <w:sz w:val="24"/>
          <w:szCs w:val="24"/>
          <w:highlight w:val="none"/>
          <w:u w:val="none"/>
        </w:rPr>
        <w:fldChar w:fldCharType="end"/>
      </w:r>
      <w:r>
        <w:rPr>
          <w:rFonts w:hint="eastAsia" w:ascii="宋体" w:hAnsi="宋体" w:eastAsia="宋体" w:cs="宋体"/>
          <w:color w:val="auto"/>
          <w:sz w:val="24"/>
          <w:szCs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spacing w:line="360" w:lineRule="auto"/>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采用</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"http://lilun.caigou2003.com/recijiedu/2365667.html" \o "http://lilun.caigou2003.com/recijiedu/2365667.html" </w:instrText>
      </w:r>
      <w:r>
        <w:rPr>
          <w:rFonts w:hint="eastAsia" w:ascii="宋体" w:hAnsi="宋体" w:eastAsia="宋体" w:cs="宋体"/>
          <w:color w:val="auto"/>
          <w:sz w:val="24"/>
          <w:szCs w:val="24"/>
          <w:highlight w:val="none"/>
        </w:rPr>
        <w:fldChar w:fldCharType="separate"/>
      </w:r>
      <w:r>
        <w:rPr>
          <w:rStyle w:val="931"/>
          <w:rFonts w:hint="eastAsia" w:ascii="宋体" w:hAnsi="宋体" w:eastAsia="宋体" w:cs="宋体"/>
          <w:color w:val="auto"/>
          <w:sz w:val="24"/>
          <w:szCs w:val="24"/>
          <w:highlight w:val="none"/>
          <w:u w:val="none"/>
        </w:rPr>
        <w:t xml:space="preserve">综合评分法</w:t>
      </w:r>
      <w:r>
        <w:rPr>
          <w:rStyle w:val="931"/>
          <w:rFonts w:hint="eastAsia" w:ascii="宋体" w:hAnsi="宋体" w:eastAsia="宋体" w:cs="宋体"/>
          <w:color w:val="auto"/>
          <w:sz w:val="24"/>
          <w:szCs w:val="24"/>
          <w:highlight w:val="none"/>
          <w:u w:val="none"/>
        </w:rPr>
        <w:fldChar w:fldCharType="end"/>
      </w:r>
      <w:r>
        <w:rPr>
          <w:rFonts w:hint="eastAsia" w:ascii="宋体" w:hAnsi="宋体" w:eastAsia="宋体" w:cs="宋体"/>
          <w:color w:val="auto"/>
          <w:sz w:val="24"/>
          <w:szCs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spacing w:line="360" w:lineRule="auto"/>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非单一产品采购项目，多家投标人提供的核心产品品牌相同的，按前两款规定处理。</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（二十九）投标文件报价出现前后不一致的，按照下列规定修正：</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1.投标文件中开标一览表（报价表）内容与投标文件中相应内容不一致的，以开标一览表（报价表）为准；</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2.大写金额和小写金额不一致的，以大写金额为准；</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4.总价金额与按单价合计金额不一致的，以单价金额计算结果为准。</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（三十）评标过程中出现下列情形之一的，评标委员会应当启动异常低价投标审查程序：</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1、投标报价低于采购项目预算50%的，即投标报价&lt;采购项目最高限价×50%。</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2、投标报价低于采购项目最高限价45%的，即投标报价&lt;采购项目最高限价×45%。</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3、评标委员会认定的投标人报价过低、有可能影响产品质量或者不能诚信履约的其他情形。</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相关投标人在评标委员会要求的时间内提供项目具体成本测算等与报价合理性相关的书面说明及必要的证明材料，对投标价格作出解释，由评标委员会结合同类产品在主要电商平台的价格、该行业当地薪资水平等情况，依据专业经验对投标人报价合理性进行判断。投标人不提供书面说明、证明材料，或者提供的书面说明、证明材料不能证明其报价合理性的，评标委员会应当将其作为无效投标处理。</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（三十二）废标条款：</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出现下列情形之一的，应予废标。</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1.符合专业条件的供应商或者对招标文件作实质响应的供应商不足三家的；</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2.出现影响采购公正的违法、违规行为的；</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3.投标人的报价均超过了采购预算，采购人不能支付的；</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4.因重大变故，采购任务取消的。</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六、定标</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（三十三）采购代理机构应当在评标结束后2个工作日内将评标报告送采购人。</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（三十四）采购人应当自收到评标报告之日起5个工作日内，在评标报告确定的中标候选人名单中按顺序确定中标人。</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（三十五）采购人有权对投标人投标文件的真实性进行核实，如果投标人不能在采购人规定的时间内向采购人提供有效的证明文件，将被采购人视为放弃中标资格。</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七、政府采购合同</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（三十六）签订政府采购合同（合同签订方式）：</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采购人不得向中标人提出任何不合理的要求作为签订合同的条件。</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600"/>
        <w:spacing w:line="360" w:lineRule="auto"/>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（三十七）采购人与中标人应当根据合同的约定依法履行合同义务。政府采购合同的履行、违约责任和解决争议的方法等，按《中华人民共和国民法典》相关条款执行。</w:t>
      </w:r>
      <w:r/>
    </w:p>
    <w:p>
      <w:pPr>
        <w:ind w:firstLine="600"/>
        <w:spacing w:line="360" w:lineRule="auto"/>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（三十八）履约保证金：详见《第三章 投标资料表》。</w:t>
      </w:r>
      <w:r/>
    </w:p>
    <w:p>
      <w:pPr>
        <w:ind w:firstLine="600"/>
        <w:spacing w:line="360" w:lineRule="auto"/>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（三十九）腐败和欺诈行为：</w:t>
      </w:r>
      <w:r/>
    </w:p>
    <w:p>
      <w:pPr>
        <w:ind w:firstLine="600"/>
        <w:spacing w:line="360" w:lineRule="auto"/>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1.采购代理机构、采购人、投标人等参与招投标的各方，均应在招标、采购、合同执行等过程中保持廉洁和最高的道德水准。</w:t>
      </w:r>
      <w:r/>
    </w:p>
    <w:p>
      <w:pPr>
        <w:ind w:firstLine="600"/>
        <w:spacing w:line="360" w:lineRule="auto"/>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（1）腐败和欺诈行为的含义：</w:t>
      </w:r>
      <w:r/>
    </w:p>
    <w:p>
      <w:pPr>
        <w:ind w:firstLine="600"/>
        <w:spacing w:line="360" w:lineRule="auto"/>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①“腐败行为”系指在招标、采购和合同执行等过程中，为了谋求私利，影响相关人员提供、给予、接受或索取有价物品，并导致损害甲方、乙方、采购代理机构和他人利益的行为。</w:t>
      </w:r>
      <w:r/>
    </w:p>
    <w:p>
      <w:pPr>
        <w:ind w:firstLine="600"/>
        <w:spacing w:line="360" w:lineRule="auto"/>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②“欺诈行为”系指为了影响招标、采购和合同执行等过程，隐瞒事实真相，给甲方、乙方、采购代理机构及他人造成损害的行为，其中包括投标人之间的串通行为。</w:t>
      </w:r>
      <w:r/>
    </w:p>
    <w:p>
      <w:pPr>
        <w:ind w:firstLine="600"/>
        <w:spacing w:line="360" w:lineRule="auto"/>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（2）如果被推荐的中标人有腐败和欺诈行为，将取消其中标资格。</w:t>
      </w:r>
      <w:r/>
    </w:p>
    <w:p>
      <w:pPr>
        <w:ind w:firstLine="600"/>
        <w:spacing w:line="360" w:lineRule="auto"/>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（3）如果投标人在任何时候，被法院及政府有关管理部门认定为有腐败和欺诈行为，采购代理机构有权拒绝其投标、取消其中标资格和撤销其已签署的合同。</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八、询问和质疑</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（四十）询问和质疑</w:t>
      </w:r>
      <w:r/>
    </w:p>
    <w:p>
      <w:pPr>
        <w:ind w:firstLine="600"/>
        <w:spacing w:line="360" w:lineRule="auto"/>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b/>
          <w:color w:val="auto"/>
          <w:sz w:val="24"/>
          <w:szCs w:val="24"/>
          <w:highlight w:val="none"/>
        </w:rPr>
        <w:t xml:space="preserve"> </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九、电子招标投标交易平台</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（四十一）电子招标投标交易平台（即“苏采云”系统，网址：http://jszfcg.jsczt.cn/）相关要求是本招标文件的组成部分。</w:t>
      </w:r>
      <w:r/>
    </w:p>
    <w:p>
      <w:pPr>
        <w:ind w:firstLine="602"/>
        <w:jc w:val="center"/>
        <w:spacing w:line="360" w:lineRule="atLeast"/>
        <w:rPr>
          <w:rFonts w:ascii="宋体" w:hAnsi="宋体" w:cs="宋体"/>
          <w:color w:val="auto"/>
          <w:sz w:val="1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18"/>
          <w:highlight w:val="none"/>
        </w:rPr>
      </w:r>
      <w:r/>
    </w:p>
    <w:p>
      <w:pPr>
        <w:jc w:val="center"/>
        <w:spacing w:line="360" w:lineRule="auto"/>
        <w:rPr>
          <w:rFonts w:ascii="宋体" w:hAnsi="宋体" w:cs="宋体"/>
          <w:color w:val="auto"/>
          <w:sz w:val="18"/>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color w:val="auto"/>
          <w:sz w:val="18"/>
          <w:highlight w:val="none"/>
        </w:rPr>
        <w:br w:type="page" w:clear="all"/>
      </w:r>
      <w:r>
        <w:rPr>
          <w:rFonts w:hint="eastAsia" w:ascii="宋体" w:hAnsi="宋体" w:cs="宋体"/>
          <w:b/>
          <w:color w:val="auto"/>
          <w:sz w:val="30"/>
          <w:szCs w:val="30"/>
          <w:highlight w:val="none"/>
        </w:rPr>
        <w:t xml:space="preserve">第三章 投标资料表</w:t>
      </w:r>
      <w:r/>
    </w:p>
    <w:p>
      <w:pPr>
        <w:ind w:firstLine="600"/>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该资料表的条款项号是与《投标人须知》的条款项号相对应的，若有增加的条款，是对《投标人须知》的补充、修改和完善，如果因此而造成矛盾时，应以本资料表为准。</w:t>
      </w:r>
      <w:r/>
    </w:p>
    <w:tbl>
      <w:tblPr>
        <w:tblStyle w:val="906"/>
        <w:tblW w:w="506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81"/>
        <w:gridCol w:w="7342"/>
      </w:tblGrid>
      <w:tr>
        <w:trPr>
          <w:jc w:val="center"/>
        </w:trPr>
        <w:tc>
          <w:tcPr>
            <w:tcMar>
              <w:left w:w="108" w:type="dxa"/>
              <w:top w:w="0" w:type="dxa"/>
              <w:right w:w="108" w:type="dxa"/>
              <w:bottom w:w="0" w:type="dxa"/>
            </w:tcMar>
            <w:tcW w:w="74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条款项号</w:t>
            </w:r>
            <w:r/>
          </w:p>
        </w:tc>
        <w:tc>
          <w:tcPr>
            <w:tcMar>
              <w:left w:w="108" w:type="dxa"/>
              <w:top w:w="0" w:type="dxa"/>
              <w:right w:w="108" w:type="dxa"/>
              <w:bottom w:w="0" w:type="dxa"/>
            </w:tcMar>
            <w:tcW w:w="4256"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内 容</w:t>
            </w:r>
            <w:r/>
          </w:p>
        </w:tc>
      </w:tr>
      <w:tr>
        <w:trPr>
          <w:jc w:val="center"/>
        </w:trPr>
        <w:tc>
          <w:tcPr>
            <w:tcMar>
              <w:left w:w="108" w:type="dxa"/>
              <w:top w:w="0" w:type="dxa"/>
              <w:right w:w="108" w:type="dxa"/>
              <w:bottom w:w="0" w:type="dxa"/>
            </w:tcMar>
            <w:tcW w:w="74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一</w:t>
            </w:r>
            <w:r/>
          </w:p>
        </w:tc>
        <w:tc>
          <w:tcPr>
            <w:tcMar>
              <w:left w:w="108" w:type="dxa"/>
              <w:top w:w="0" w:type="dxa"/>
              <w:right w:w="108" w:type="dxa"/>
              <w:bottom w:w="0" w:type="dxa"/>
            </w:tcMar>
            <w:tcW w:w="4256" w:type="pct"/>
            <w:vAlign w:val="center"/>
            <w:textDirection w:val="lrTb"/>
            <w:noWrap w:val="false"/>
          </w:tcPr>
          <w:p>
            <w:pPr>
              <w:jc w:val="both"/>
              <w:keepLines w:val="0"/>
              <w:keepNext w:val="0"/>
              <w:pageBreakBefore w:val="0"/>
              <w:spacing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总则</w:t>
            </w:r>
            <w:r/>
          </w:p>
        </w:tc>
      </w:tr>
      <w:tr>
        <w:trPr>
          <w:jc w:val="center"/>
        </w:trPr>
        <w:tc>
          <w:tcPr>
            <w:tcMar>
              <w:left w:w="108" w:type="dxa"/>
              <w:top w:w="0" w:type="dxa"/>
              <w:right w:w="108" w:type="dxa"/>
              <w:bottom w:w="0" w:type="dxa"/>
            </w:tcMar>
            <w:tcW w:w="74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w:t>
            </w:r>
            <w:r/>
          </w:p>
        </w:tc>
        <w:tc>
          <w:tcPr>
            <w:tcMar>
              <w:left w:w="108" w:type="dxa"/>
              <w:top w:w="0" w:type="dxa"/>
              <w:right w:w="108" w:type="dxa"/>
              <w:bottom w:w="0" w:type="dxa"/>
            </w:tcMar>
            <w:tcW w:w="4256" w:type="pct"/>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本项目采购人：</w:t>
            </w:r>
            <w:r>
              <w:rPr>
                <w:rFonts w:hint="eastAsia" w:ascii="宋体" w:hAnsi="宋体" w:eastAsia="宋体" w:cs="宋体"/>
                <w:color w:val="auto"/>
                <w:sz w:val="24"/>
                <w:szCs w:val="24"/>
                <w:highlight w:val="none"/>
                <w:lang w:eastAsia="zh-CN"/>
              </w:rPr>
              <w:t xml:space="preserve">徐州市第一人民医院</w:t>
            </w:r>
            <w:r/>
          </w:p>
        </w:tc>
      </w:tr>
      <w:tr>
        <w:trPr>
          <w:jc w:val="center"/>
        </w:trPr>
        <w:tc>
          <w:tcPr>
            <w:tcMar>
              <w:left w:w="108" w:type="dxa"/>
              <w:top w:w="0" w:type="dxa"/>
              <w:right w:w="108" w:type="dxa"/>
              <w:bottom w:w="0" w:type="dxa"/>
            </w:tcMar>
            <w:tcW w:w="74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w:t>
            </w:r>
            <w:r/>
          </w:p>
        </w:tc>
        <w:tc>
          <w:tcPr>
            <w:tcMar>
              <w:left w:w="108" w:type="dxa"/>
              <w:top w:w="0" w:type="dxa"/>
              <w:right w:w="108" w:type="dxa"/>
              <w:bottom w:w="0" w:type="dxa"/>
            </w:tcMar>
            <w:tcW w:w="4256" w:type="pct"/>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本次采购采用的政府采购方式：公开招标</w:t>
            </w:r>
            <w:r/>
          </w:p>
        </w:tc>
      </w:tr>
      <w:tr>
        <w:trPr>
          <w:jc w:val="center"/>
        </w:trPr>
        <w:tc>
          <w:tcPr>
            <w:tcMar>
              <w:left w:w="108" w:type="dxa"/>
              <w:top w:w="0" w:type="dxa"/>
              <w:right w:w="108" w:type="dxa"/>
              <w:bottom w:w="0" w:type="dxa"/>
            </w:tcMar>
            <w:tcW w:w="74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(四)</w:t>
            </w:r>
            <w:r/>
          </w:p>
        </w:tc>
        <w:tc>
          <w:tcPr>
            <w:tcMar>
              <w:left w:w="108" w:type="dxa"/>
              <w:top w:w="0" w:type="dxa"/>
              <w:right w:w="108" w:type="dxa"/>
              <w:bottom w:w="0" w:type="dxa"/>
            </w:tcMar>
            <w:tcW w:w="4256" w:type="pct"/>
            <w:vAlign w:val="center"/>
            <w:textDirection w:val="lrTb"/>
            <w:noWrap w:val="false"/>
          </w:tcPr>
          <w:p>
            <w:pPr>
              <w:jc w:val="both"/>
              <w:keepLines w:val="0"/>
              <w:keepNext w:val="0"/>
              <w:pageBreakBefore w:val="0"/>
              <w:spacing w:line="240" w:lineRule="auto"/>
              <w:widowControl w:val="off"/>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rPr>
              <w:t xml:space="preserve">采购人确定的采购项目属性：</w:t>
            </w:r>
            <w:r/>
          </w:p>
          <w:p>
            <w:pPr>
              <w:jc w:val="both"/>
              <w:keepLines w:val="0"/>
              <w:keepNext w:val="0"/>
              <w:pageBreakBefore w:val="0"/>
              <w:spacing w:line="240" w:lineRule="auto"/>
              <w:widowControl w:val="off"/>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val="en-US" w:eastAsia="zh-CN"/>
              </w:rPr>
              <w:t xml:space="preserve">本项目包含货物和服务，依据《政府采购货物和服务招标投标管理办法（中华人民共和国财政部令第87号）》，按照有利于采购项目实施的原则确定，本项目确定的采购项目属性：服务。</w:t>
            </w:r>
            <w:r/>
          </w:p>
        </w:tc>
      </w:tr>
      <w:tr>
        <w:trPr>
          <w:jc w:val="center"/>
        </w:trPr>
        <w:tc>
          <w:tcPr>
            <w:tcMar>
              <w:left w:w="108" w:type="dxa"/>
              <w:top w:w="0" w:type="dxa"/>
              <w:right w:w="108" w:type="dxa"/>
              <w:bottom w:w="0" w:type="dxa"/>
            </w:tcMar>
            <w:tcW w:w="74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w:t>
            </w:r>
            <w:r/>
          </w:p>
        </w:tc>
        <w:tc>
          <w:tcPr>
            <w:tcMar>
              <w:left w:w="108" w:type="dxa"/>
              <w:top w:w="0" w:type="dxa"/>
              <w:right w:w="108" w:type="dxa"/>
              <w:bottom w:w="0" w:type="dxa"/>
            </w:tcMar>
            <w:tcW w:w="4256" w:type="pct"/>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本项目采购代理机构：江苏海外集团国际工程咨询有限公司</w:t>
            </w:r>
            <w:r/>
          </w:p>
        </w:tc>
      </w:tr>
      <w:tr>
        <w:trPr>
          <w:jc w:val="center"/>
          <w:trHeight w:val="444"/>
        </w:trPr>
        <w:tc>
          <w:tcPr>
            <w:tcMar>
              <w:left w:w="108" w:type="dxa"/>
              <w:top w:w="0" w:type="dxa"/>
              <w:right w:w="108" w:type="dxa"/>
              <w:bottom w:w="0" w:type="dxa"/>
            </w:tcMar>
            <w:tcW w:w="74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(六)</w:t>
            </w:r>
            <w:r/>
          </w:p>
        </w:tc>
        <w:tc>
          <w:tcPr>
            <w:tcMar>
              <w:left w:w="108" w:type="dxa"/>
              <w:top w:w="0" w:type="dxa"/>
              <w:right w:w="108" w:type="dxa"/>
              <w:bottom w:w="0" w:type="dxa"/>
            </w:tcMar>
            <w:tcW w:w="4256" w:type="pct"/>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投标人的资格条件：</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一、符合《中华人民共和国政府采购法》第二十二条的规定；</w:t>
            </w:r>
            <w:r/>
          </w:p>
          <w:p>
            <w:pPr>
              <w:jc w:val="both"/>
              <w:keepLines w:val="0"/>
              <w:keepNext w:val="0"/>
              <w:pageBreakBefore w:val="0"/>
              <w:spacing w:line="240" w:lineRule="auto"/>
              <w:widowControl w:val="off"/>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二、具备有效的《食品经营许可证》或《食品生产许可证》（仅预包装食品经营的供应商，提供市场监管部门核发的仅销售预包装食品经营者备案凭证）；</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三、本项目为专门面向中小企业采购的项目，供应商应为中小微企业、监狱企业、残疾人福利性单位。</w:t>
            </w:r>
            <w:r/>
          </w:p>
          <w:p>
            <w:pPr>
              <w:jc w:val="both"/>
              <w:keepLines w:val="0"/>
              <w:keepNext w:val="0"/>
              <w:pageBreakBefore w:val="0"/>
              <w:spacing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同时明确相关事项如下：</w:t>
            </w:r>
            <w:r/>
          </w:p>
          <w:p>
            <w:pPr>
              <w:ind w:firstLine="280"/>
              <w:jc w:val="both"/>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1、本项目不接受联合体参与采购活动。</w:t>
            </w:r>
            <w:r/>
          </w:p>
          <w:p>
            <w:pPr>
              <w:ind w:firstLine="280"/>
              <w:jc w:val="both"/>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2、单位负责人为同一人或者存在直接控股、管理关系的不同供应商，不得参加同一合同项下的政府采购活动。</w:t>
            </w:r>
            <w:r/>
          </w:p>
          <w:p>
            <w:pPr>
              <w:ind w:firstLine="280"/>
              <w:jc w:val="both"/>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3、为本采购项目提供整体设计、规范编制或者项目管理、监理、检测等服务的供应商，不得再参加本采购项目的采购活动。</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四、查询及使用供应商信用记录：</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(一)由采购人查询信用信息。</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(二)查询渠道包括：</w:t>
            </w:r>
            <w:r/>
          </w:p>
          <w:p>
            <w:pPr>
              <w:ind w:firstLine="280"/>
              <w:jc w:val="both"/>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1、“信用中国”网（www.creditchina.gov.cn）；</w:t>
            </w:r>
            <w:r/>
          </w:p>
          <w:p>
            <w:pPr>
              <w:ind w:firstLine="280"/>
              <w:jc w:val="both"/>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2、中国政府采购网（www.ccgp.gov.cn）；</w:t>
            </w:r>
            <w:r/>
          </w:p>
          <w:p>
            <w:pPr>
              <w:ind w:firstLine="280"/>
              <w:jc w:val="both"/>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3、“信用江苏”网（http://credit.jiangsu.gov.cn/）；</w:t>
            </w:r>
            <w:r/>
          </w:p>
          <w:p>
            <w:pPr>
              <w:ind w:firstLine="280"/>
              <w:jc w:val="both"/>
              <w:keepLines w:val="0"/>
              <w:keepNext w:val="0"/>
              <w:pageBreakBefore w:val="0"/>
              <w:spacing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4、“信用中国(江苏徐州)”网（http://www.xuzhoucredit.gov.cn）；</w:t>
            </w:r>
            <w:r/>
          </w:p>
          <w:p>
            <w:pPr>
              <w:jc w:val="both"/>
              <w:keepLines w:val="0"/>
              <w:keepNext w:val="0"/>
              <w:pageBreakBefore w:val="0"/>
              <w:spacing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(三)截止时点（查询环节）：开标后资格审查结束前。</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(四)信用信息查询记录和证据留存的具体方式：网页截屏打印，与其他采购文件一并保存。</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(五)信用信息的使用规则：</w:t>
            </w:r>
            <w:r/>
          </w:p>
          <w:p>
            <w:pPr>
              <w:ind w:firstLine="560"/>
              <w:jc w:val="both"/>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74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(七)</w:t>
            </w:r>
            <w:r/>
          </w:p>
        </w:tc>
        <w:tc>
          <w:tcPr>
            <w:tcMar>
              <w:left w:w="108" w:type="dxa"/>
              <w:top w:w="0" w:type="dxa"/>
              <w:right w:w="108" w:type="dxa"/>
              <w:bottom w:w="0" w:type="dxa"/>
            </w:tcMar>
            <w:tcW w:w="4256" w:type="pct"/>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招标代理服务费由中标人支付，</w:t>
            </w:r>
            <w:r>
              <w:rPr>
                <w:rFonts w:hint="eastAsia" w:ascii="宋体" w:hAnsi="宋体" w:eastAsia="宋体" w:cs="宋体"/>
                <w:color w:val="auto"/>
                <w:sz w:val="24"/>
                <w:szCs w:val="24"/>
                <w:highlight w:val="none"/>
                <w:lang w:val="en-US" w:eastAsia="zh-CN"/>
              </w:rPr>
              <w:t xml:space="preserve">各采购包按采购包预算为计算基数，</w:t>
            </w:r>
            <w:r>
              <w:rPr>
                <w:rFonts w:hint="eastAsia" w:ascii="宋体" w:hAnsi="宋体" w:eastAsia="宋体" w:cs="宋体"/>
                <w:color w:val="auto"/>
                <w:sz w:val="24"/>
                <w:szCs w:val="24"/>
                <w:highlight w:val="none"/>
              </w:rPr>
              <w:t xml:space="preserve">标准按《招标代理服务收费标准》收取（见附件）。</w:t>
            </w:r>
            <w:r/>
          </w:p>
        </w:tc>
      </w:tr>
      <w:tr>
        <w:trPr>
          <w:jc w:val="center"/>
        </w:trPr>
        <w:tc>
          <w:tcPr>
            <w:tcMar>
              <w:left w:w="108" w:type="dxa"/>
              <w:top w:w="0" w:type="dxa"/>
              <w:right w:w="108" w:type="dxa"/>
              <w:bottom w:w="0" w:type="dxa"/>
            </w:tcMar>
            <w:tcW w:w="74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二</w:t>
            </w:r>
            <w:r/>
          </w:p>
        </w:tc>
        <w:tc>
          <w:tcPr>
            <w:tcMar>
              <w:left w:w="108" w:type="dxa"/>
              <w:top w:w="0" w:type="dxa"/>
              <w:right w:w="108" w:type="dxa"/>
              <w:bottom w:w="0" w:type="dxa"/>
            </w:tcMar>
            <w:tcW w:w="4256" w:type="pct"/>
            <w:vAlign w:val="center"/>
            <w:textDirection w:val="lrTb"/>
            <w:noWrap w:val="false"/>
          </w:tcPr>
          <w:p>
            <w:pPr>
              <w:jc w:val="both"/>
              <w:keepLines w:val="0"/>
              <w:keepNext w:val="0"/>
              <w:pageBreakBefore w:val="0"/>
              <w:spacing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招标</w:t>
            </w:r>
            <w:r/>
          </w:p>
        </w:tc>
      </w:tr>
      <w:tr>
        <w:trPr>
          <w:jc w:val="center"/>
          <w:trHeight w:val="1433"/>
        </w:trPr>
        <w:tc>
          <w:tcPr>
            <w:tcMar>
              <w:left w:w="108" w:type="dxa"/>
              <w:top w:w="0" w:type="dxa"/>
              <w:right w:w="108" w:type="dxa"/>
              <w:bottom w:w="0" w:type="dxa"/>
            </w:tcMar>
            <w:tcW w:w="74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(八)1</w:t>
            </w:r>
            <w:r/>
          </w:p>
        </w:tc>
        <w:tc>
          <w:tcPr>
            <w:tcMar>
              <w:left w:w="108" w:type="dxa"/>
              <w:top w:w="0" w:type="dxa"/>
              <w:right w:w="108" w:type="dxa"/>
              <w:bottom w:w="0" w:type="dxa"/>
            </w:tcMar>
            <w:tcW w:w="4256" w:type="pct"/>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74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(九)2</w:t>
            </w:r>
            <w:r/>
          </w:p>
        </w:tc>
        <w:tc>
          <w:tcPr>
            <w:tcMar>
              <w:left w:w="108" w:type="dxa"/>
              <w:top w:w="0" w:type="dxa"/>
              <w:right w:w="108" w:type="dxa"/>
              <w:bottom w:w="0" w:type="dxa"/>
            </w:tcMar>
            <w:tcW w:w="4256" w:type="pct"/>
            <w:vAlign w:val="center"/>
            <w:textDirection w:val="lrTb"/>
            <w:noWrap w:val="false"/>
          </w:tcPr>
          <w:p>
            <w:pPr>
              <w:jc w:val="both"/>
              <w:keepLines w:val="0"/>
              <w:keepNext w:val="0"/>
              <w:pageBreakBefore w:val="0"/>
              <w:spacing w:line="240" w:lineRule="auto"/>
              <w:widowControl w:val="off"/>
              <w:tabs>
                <w:tab w:val="left" w:pos="576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自行现场勘察。</w:t>
            </w:r>
            <w:r/>
          </w:p>
        </w:tc>
      </w:tr>
      <w:tr>
        <w:trPr>
          <w:jc w:val="center"/>
        </w:trPr>
        <w:tc>
          <w:tcPr>
            <w:tcMar>
              <w:left w:w="108" w:type="dxa"/>
              <w:top w:w="0" w:type="dxa"/>
              <w:right w:w="108" w:type="dxa"/>
              <w:bottom w:w="0" w:type="dxa"/>
            </w:tcMar>
            <w:tcW w:w="74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(九)3</w:t>
            </w:r>
            <w:r/>
          </w:p>
        </w:tc>
        <w:tc>
          <w:tcPr>
            <w:tcMar>
              <w:left w:w="108" w:type="dxa"/>
              <w:top w:w="0" w:type="dxa"/>
              <w:right w:w="108" w:type="dxa"/>
              <w:bottom w:w="0" w:type="dxa"/>
            </w:tcMar>
            <w:tcW w:w="4256" w:type="pct"/>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不安排开标前答疑会。</w:t>
            </w:r>
            <w:r/>
          </w:p>
        </w:tc>
      </w:tr>
      <w:tr>
        <w:trPr>
          <w:jc w:val="center"/>
        </w:trPr>
        <w:tc>
          <w:tcPr>
            <w:tcMar>
              <w:left w:w="108" w:type="dxa"/>
              <w:top w:w="0" w:type="dxa"/>
              <w:right w:w="108" w:type="dxa"/>
              <w:bottom w:w="0" w:type="dxa"/>
            </w:tcMar>
            <w:tcW w:w="74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三</w:t>
            </w:r>
            <w:r/>
          </w:p>
        </w:tc>
        <w:tc>
          <w:tcPr>
            <w:tcMar>
              <w:left w:w="108" w:type="dxa"/>
              <w:top w:w="0" w:type="dxa"/>
              <w:right w:w="108" w:type="dxa"/>
              <w:bottom w:w="0" w:type="dxa"/>
            </w:tcMar>
            <w:tcW w:w="4256" w:type="pct"/>
            <w:vAlign w:val="center"/>
            <w:textDirection w:val="lrTb"/>
            <w:noWrap w:val="false"/>
          </w:tcPr>
          <w:p>
            <w:pPr>
              <w:jc w:val="both"/>
              <w:keepLines w:val="0"/>
              <w:keepNext w:val="0"/>
              <w:pageBreakBefore w:val="0"/>
              <w:spacing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投标</w:t>
            </w:r>
            <w:r/>
          </w:p>
        </w:tc>
      </w:tr>
      <w:tr>
        <w:trPr>
          <w:jc w:val="center"/>
          <w:trHeight w:val="90"/>
        </w:trPr>
        <w:tc>
          <w:tcPr>
            <w:tcMar>
              <w:left w:w="108" w:type="dxa"/>
              <w:top w:w="0" w:type="dxa"/>
              <w:right w:w="108" w:type="dxa"/>
              <w:bottom w:w="0" w:type="dxa"/>
            </w:tcMar>
            <w:tcW w:w="74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(十一)</w:t>
            </w:r>
            <w:r/>
          </w:p>
        </w:tc>
        <w:tc>
          <w:tcPr>
            <w:tcMar>
              <w:left w:w="108" w:type="dxa"/>
              <w:top w:w="0" w:type="dxa"/>
              <w:right w:w="108" w:type="dxa"/>
              <w:bottom w:w="0" w:type="dxa"/>
            </w:tcMar>
            <w:tcW w:w="4256" w:type="pct"/>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投标文件的语言为中文</w:t>
            </w:r>
            <w:r/>
          </w:p>
        </w:tc>
      </w:tr>
      <w:tr>
        <w:trPr>
          <w:jc w:val="center"/>
          <w:trHeight w:val="90"/>
        </w:trPr>
        <w:tc>
          <w:tcPr>
            <w:tcMar>
              <w:left w:w="108" w:type="dxa"/>
              <w:top w:w="0" w:type="dxa"/>
              <w:right w:w="108" w:type="dxa"/>
              <w:bottom w:w="0" w:type="dxa"/>
            </w:tcMar>
            <w:tcW w:w="74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(十二)1</w:t>
            </w:r>
            <w:r/>
          </w:p>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(十二)2</w:t>
            </w:r>
            <w:r/>
          </w:p>
        </w:tc>
        <w:tc>
          <w:tcPr>
            <w:tcMar>
              <w:left w:w="108" w:type="dxa"/>
              <w:top w:w="0" w:type="dxa"/>
              <w:right w:w="108" w:type="dxa"/>
              <w:bottom w:w="0" w:type="dxa"/>
            </w:tcMar>
            <w:tcW w:w="4256" w:type="pct"/>
            <w:vAlign w:val="center"/>
            <w:textDirection w:val="lrTb"/>
            <w:noWrap w:val="false"/>
          </w:tcPr>
          <w:p>
            <w:pPr>
              <w:jc w:val="both"/>
              <w:keepLines w:val="0"/>
              <w:keepNext w:val="0"/>
              <w:pageBreakBefore w:val="0"/>
              <w:spacing w:line="240" w:lineRule="auto"/>
              <w:widowControl w:val="off"/>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线上投标文件编制要求：</w:t>
            </w:r>
            <w:r/>
          </w:p>
          <w:p>
            <w:pPr>
              <w:jc w:val="both"/>
              <w:keepLines w:val="0"/>
              <w:keepNext w:val="0"/>
              <w:pageBreakBefore w:val="0"/>
              <w:spacing w:line="240" w:lineRule="auto"/>
              <w:widowControl w:val="off"/>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请按照以下要求（包括但不限于以下要求）制作：</w:t>
            </w:r>
            <w:r/>
          </w:p>
          <w:p>
            <w:pPr>
              <w:jc w:val="both"/>
              <w:keepLines w:val="0"/>
              <w:keepNext w:val="0"/>
              <w:pageBreakBefore w:val="0"/>
              <w:spacing w:line="240" w:lineRule="auto"/>
              <w:widowControl w:val="off"/>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一、基本目录</w:t>
            </w:r>
            <w:r/>
          </w:p>
          <w:p>
            <w:pPr>
              <w:jc w:val="both"/>
              <w:keepLines w:val="0"/>
              <w:keepNext w:val="0"/>
              <w:pageBreakBefore w:val="0"/>
              <w:spacing w:line="240" w:lineRule="auto"/>
              <w:widowControl w:val="off"/>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1、《开标一览表》（加盖电子签章，政府采购客户端工具输入报价自动生成）；</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二、资格条件（必须提供，否则投标将被拒绝）</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(一)投标人合法有效的营业执照扫描件，或事业单位法人证书扫描件，或民办非企业单位登记证书扫描件。</w:t>
            </w:r>
            <w:r/>
          </w:p>
          <w:p>
            <w:pPr>
              <w:ind w:right="28"/>
              <w:jc w:val="both"/>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(二)财务状况报告（即提供投标人的本项目开标时间前6个月内任何时间的</w:t>
            </w:r>
            <w:r>
              <w:rPr>
                <w:rFonts w:hint="eastAsia" w:ascii="宋体" w:hAnsi="宋体" w:eastAsia="宋体" w:cs="宋体"/>
                <w:b/>
                <w:color w:val="auto"/>
                <w:sz w:val="24"/>
                <w:szCs w:val="24"/>
                <w:highlight w:val="none"/>
              </w:rPr>
              <w:t xml:space="preserve">资产负债表、利润表扫描件各一份</w:t>
            </w:r>
            <w:r>
              <w:rPr>
                <w:rFonts w:hint="eastAsia" w:ascii="宋体" w:hAnsi="宋体" w:eastAsia="宋体" w:cs="宋体"/>
                <w:color w:val="auto"/>
                <w:sz w:val="24"/>
                <w:szCs w:val="24"/>
                <w:highlight w:val="none"/>
              </w:rPr>
              <w:t xml:space="preserve">；或提供投标人</w:t>
            </w:r>
            <w:r>
              <w:rPr>
                <w:rFonts w:hint="eastAsia" w:ascii="宋体" w:hAnsi="宋体" w:eastAsia="宋体" w:cs="宋体"/>
                <w:b/>
                <w:color w:val="auto"/>
                <w:sz w:val="24"/>
                <w:szCs w:val="24"/>
                <w:highlight w:val="none"/>
              </w:rPr>
              <w:t xml:space="preserve">2024年度经审计的财务报告扫描件</w:t>
            </w:r>
            <w:r>
              <w:rPr>
                <w:rFonts w:hint="eastAsia" w:ascii="宋体" w:hAnsi="宋体" w:eastAsia="宋体" w:cs="宋体"/>
                <w:color w:val="auto"/>
                <w:sz w:val="24"/>
                <w:szCs w:val="24"/>
                <w:highlight w:val="none"/>
              </w:rPr>
              <w:t xml:space="preserve">一份；或投标人的本项目开标时间前6个月内银行出具的</w:t>
            </w:r>
            <w:r>
              <w:rPr>
                <w:rFonts w:hint="eastAsia" w:ascii="宋体" w:hAnsi="宋体" w:eastAsia="宋体" w:cs="宋体"/>
                <w:b/>
                <w:color w:val="auto"/>
                <w:sz w:val="24"/>
                <w:szCs w:val="24"/>
                <w:highlight w:val="none"/>
              </w:rPr>
              <w:t xml:space="preserve">资信证明扫描件</w:t>
            </w:r>
            <w:r>
              <w:rPr>
                <w:rFonts w:hint="eastAsia" w:ascii="宋体" w:hAnsi="宋体" w:eastAsia="宋体" w:cs="宋体"/>
                <w:color w:val="auto"/>
                <w:sz w:val="24"/>
                <w:szCs w:val="24"/>
                <w:highlight w:val="none"/>
              </w:rPr>
              <w:t xml:space="preserve">一份）。</w:t>
            </w:r>
            <w:r/>
          </w:p>
          <w:p>
            <w:pPr>
              <w:ind w:right="28"/>
              <w:jc w:val="both"/>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(三)投标人的本项目开标时间前6个月内任何1个月的</w:t>
            </w:r>
            <w:r>
              <w:rPr>
                <w:rFonts w:hint="eastAsia" w:ascii="宋体" w:hAnsi="宋体" w:eastAsia="宋体" w:cs="宋体"/>
                <w:b/>
                <w:color w:val="auto"/>
                <w:sz w:val="24"/>
                <w:szCs w:val="24"/>
                <w:highlight w:val="none"/>
              </w:rPr>
              <w:t xml:space="preserve">依法缴纳税收扫描件和社会保障资金扫描件</w:t>
            </w:r>
            <w:r>
              <w:rPr>
                <w:rFonts w:hint="eastAsia" w:ascii="宋体" w:hAnsi="宋体" w:eastAsia="宋体" w:cs="宋体"/>
                <w:color w:val="auto"/>
                <w:sz w:val="24"/>
                <w:szCs w:val="24"/>
                <w:highlight w:val="none"/>
              </w:rPr>
              <w:t xml:space="preserve">的相关材料</w:t>
            </w:r>
            <w:r>
              <w:rPr>
                <w:rFonts w:hint="eastAsia" w:ascii="宋体" w:hAnsi="宋体" w:eastAsia="宋体" w:cs="宋体"/>
                <w:b/>
                <w:color w:val="auto"/>
                <w:sz w:val="24"/>
                <w:szCs w:val="24"/>
                <w:highlight w:val="none"/>
              </w:rPr>
              <w:t xml:space="preserve">各一份</w:t>
            </w:r>
            <w:r>
              <w:rPr>
                <w:rFonts w:hint="eastAsia" w:ascii="宋体" w:hAnsi="宋体" w:eastAsia="宋体" w:cs="宋体"/>
                <w:color w:val="auto"/>
                <w:sz w:val="24"/>
                <w:szCs w:val="24"/>
                <w:highlight w:val="none"/>
              </w:rPr>
              <w:t xml:space="preserve">（依法免税或不需要缴纳社会保障资金的供应商,提供相应文件扫描件证明其依法免税或不需要缴纳社会保障资金)。</w:t>
            </w:r>
            <w:r/>
          </w:p>
          <w:p>
            <w:pPr>
              <w:ind w:right="28"/>
              <w:jc w:val="both"/>
              <w:keepLines w:val="0"/>
              <w:keepNext w:val="0"/>
              <w:pageBreakBefore w:val="0"/>
              <w:spacing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(四)具备履行合同所必需的设备和专业技术能力的证明材料。</w:t>
            </w:r>
            <w:r>
              <w:rPr>
                <w:rFonts w:hint="eastAsia" w:ascii="宋体" w:hAnsi="宋体" w:eastAsia="宋体" w:cs="宋体"/>
                <w:b/>
                <w:bCs/>
                <w:color w:val="auto"/>
                <w:sz w:val="24"/>
                <w:szCs w:val="24"/>
                <w:highlight w:val="none"/>
              </w:rPr>
              <w:t xml:space="preserve">即投标文件中提供投标人的有效的《食品经营许可证》扫描件或《食品生产许可证》扫描件（仅预包装食品经营的供应商，提供市场监管部门核发的仅销售预包装食品经营者备案凭证扫描件）。</w:t>
            </w:r>
            <w:r/>
          </w:p>
          <w:p>
            <w:pPr>
              <w:ind w:right="28"/>
              <w:jc w:val="both"/>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（五）投标人参加政府采购活动前3年内在经营活动中没有重大违法记录的书面声明，加盖</w:t>
            </w:r>
            <w:r>
              <w:rPr>
                <w:rFonts w:hint="eastAsia" w:ascii="宋体" w:hAnsi="宋体" w:eastAsia="宋体" w:cs="宋体"/>
                <w:b/>
                <w:color w:val="auto"/>
                <w:sz w:val="24"/>
                <w:szCs w:val="24"/>
                <w:highlight w:val="none"/>
              </w:rPr>
              <w:t xml:space="preserve">电子签章</w:t>
            </w:r>
            <w:r>
              <w:rPr>
                <w:rFonts w:hint="eastAsia" w:ascii="宋体" w:hAnsi="宋体" w:eastAsia="宋体" w:cs="宋体"/>
                <w:color w:val="auto"/>
                <w:sz w:val="24"/>
                <w:szCs w:val="24"/>
                <w:highlight w:val="none"/>
              </w:rPr>
              <w:t xml:space="preserve">，格式见本文件第七章《投标文件相关格式》。</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rPr>
              <w:t xml:space="preserve">）本项目为专门面向中小企业采购的项目，</w:t>
            </w:r>
            <w:r>
              <w:rPr>
                <w:rFonts w:hint="eastAsia" w:ascii="宋体" w:hAnsi="宋体" w:eastAsia="宋体" w:cs="宋体"/>
                <w:color w:val="auto"/>
                <w:sz w:val="24"/>
                <w:szCs w:val="24"/>
                <w:highlight w:val="none"/>
              </w:rPr>
              <w:t xml:space="preserve">提供的服务全部由符合政策要求的中小企业承接，提供《中小企业声明函》（填写完整，加盖电子签章，格式见招标文件第七章《投标文件相关格式》,如不填写完整，视为不满足，</w:t>
            </w:r>
            <w:r>
              <w:rPr>
                <w:rFonts w:hint="eastAsia" w:ascii="宋体" w:hAnsi="宋体" w:eastAsia="宋体" w:cs="宋体"/>
                <w:b/>
                <w:bCs/>
                <w:color w:val="auto"/>
                <w:sz w:val="24"/>
                <w:szCs w:val="24"/>
                <w:highlight w:val="none"/>
              </w:rPr>
              <w:t xml:space="preserve">必须提供</w:t>
            </w:r>
            <w:r>
              <w:rPr>
                <w:rFonts w:hint="eastAsia" w:ascii="宋体" w:hAnsi="宋体" w:eastAsia="宋体" w:cs="宋体"/>
                <w:color w:val="auto"/>
                <w:sz w:val="24"/>
                <w:szCs w:val="24"/>
                <w:highlight w:val="none"/>
              </w:rPr>
              <w:t xml:space="preserve">）。《中小企业声明函》查询渠道参考工业和信息化部发布的中小企业规模自测小程序。中小企业规模自测小程序详见《中小企业声明函》。</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注：</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1、中小企业需满足的条件具体以《政府采购促进中小企业发展管理办法》（财库﹝2020﹞46号）、（苏财购( 2022 ) 45号）和《工业和信息化部、国家统计局、国家发展和改革委员会、财政部关于印发中小企业划型标准规定的通知》（工信部联企业[2011]300号）的规定为准。</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为残疾人福利性单位的，视同小微企业，提供《残疾人福利性单位声明函》（加盖电子签章，格式见招标文件第七章《投标文件相关格式》）。具体以《关于促进残疾人就业政府采购政策的通知》（财库〔2017〕141号）的规定为准。</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jc w:val="both"/>
              <w:keepLines w:val="0"/>
              <w:keepNext w:val="0"/>
              <w:pageBreakBefore w:val="0"/>
              <w:spacing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三、符合条件（必须提供，否则投标无效）</w:t>
            </w:r>
            <w:r/>
          </w:p>
          <w:p>
            <w:pPr>
              <w:jc w:val="both"/>
              <w:keepLines w:val="0"/>
              <w:keepNext w:val="0"/>
              <w:pageBreakBefore w:val="0"/>
              <w:spacing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(一)报价</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1、《开标一览表》。</w:t>
            </w:r>
            <w:r>
              <w:rPr>
                <w:rFonts w:hint="eastAsia" w:ascii="宋体" w:hAnsi="宋体" w:eastAsia="宋体" w:cs="宋体"/>
                <w:color w:val="auto"/>
                <w:sz w:val="24"/>
                <w:szCs w:val="24"/>
                <w:highlight w:val="none"/>
              </w:rPr>
              <w:t xml:space="preserve">要求加盖电子签章，格式见本文件第七章《投标文件相关格式》，或政府采购客户端工具输入报价自动生成的《开标一览表》均视为满足招标文件要求。</w:t>
            </w:r>
            <w:r/>
          </w:p>
          <w:p>
            <w:pPr>
              <w:jc w:val="both"/>
              <w:keepLines w:val="0"/>
              <w:keepNext w:val="0"/>
              <w:pageBreakBefore w:val="0"/>
              <w:spacing w:line="240" w:lineRule="auto"/>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2、《分项价格表》</w:t>
            </w:r>
            <w:r>
              <w:rPr>
                <w:rFonts w:hint="eastAsia" w:ascii="宋体" w:hAnsi="宋体" w:eastAsia="宋体" w:cs="宋体"/>
                <w:b w:val="0"/>
                <w:bCs/>
                <w:color w:val="auto"/>
                <w:sz w:val="24"/>
                <w:szCs w:val="24"/>
                <w:highlight w:val="none"/>
              </w:rPr>
              <w:t xml:space="preserve">。要求加盖电子签章，格式见本文件第七章《投标文件相关格式》（必须提供，否则在符合性审查时按照投标无效处理）。</w:t>
            </w:r>
            <w:r/>
          </w:p>
          <w:p>
            <w:pPr>
              <w:jc w:val="both"/>
              <w:keepLines w:val="0"/>
              <w:keepNext w:val="0"/>
              <w:pageBreakBefore w:val="0"/>
              <w:spacing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（二）商务资信</w:t>
            </w:r>
            <w:r/>
          </w:p>
          <w:p>
            <w:pPr>
              <w:jc w:val="both"/>
              <w:keepLines w:val="0"/>
              <w:keepNext w:val="0"/>
              <w:pageBreakBefore w:val="0"/>
              <w:spacing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1、《投标函》</w:t>
            </w:r>
            <w:r>
              <w:rPr>
                <w:rFonts w:hint="eastAsia" w:ascii="宋体" w:hAnsi="宋体" w:eastAsia="宋体" w:cs="宋体"/>
                <w:b w:val="0"/>
                <w:bCs w:val="0"/>
                <w:color w:val="auto"/>
                <w:sz w:val="24"/>
                <w:szCs w:val="24"/>
                <w:highlight w:val="none"/>
              </w:rPr>
              <w:t xml:space="preserve">（要求加盖电子签章，格式见招标文件第七章《投标文件相关格式》）。</w:t>
            </w:r>
            <w:r/>
          </w:p>
          <w:p>
            <w:pPr>
              <w:jc w:val="both"/>
              <w:keepLines w:val="0"/>
              <w:keepNext w:val="0"/>
              <w:pageBreakBefore w:val="0"/>
              <w:spacing w:line="240" w:lineRule="auto"/>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2、</w:t>
            </w:r>
            <w:r>
              <w:rPr>
                <w:rFonts w:hint="eastAsia" w:ascii="宋体" w:hAnsi="宋体" w:eastAsia="宋体" w:cs="宋体"/>
                <w:b/>
                <w:color w:val="auto"/>
                <w:sz w:val="24"/>
                <w:szCs w:val="24"/>
                <w:highlight w:val="none"/>
              </w:rPr>
              <w:t xml:space="preserve">《授权委托书》。</w:t>
            </w:r>
            <w:r>
              <w:rPr>
                <w:rFonts w:hint="eastAsia" w:ascii="宋体" w:hAnsi="宋体" w:eastAsia="宋体" w:cs="宋体"/>
                <w:b w:val="0"/>
                <w:bCs/>
                <w:color w:val="auto"/>
                <w:sz w:val="24"/>
                <w:szCs w:val="24"/>
                <w:highlight w:val="none"/>
              </w:rPr>
              <w:t xml:space="preserve">要求加盖电子签章，格式见本文件第七章《投标文件相关格式》（必须提供，否则在符合性审查时按照投标无效处理）（特别提醒：如公司法定代表人直接参与本项目投标的，提供法定代理人资格证明或声明（并附身份证扫描件），可不单独提供《授权委托书》）。</w:t>
            </w:r>
            <w:r/>
          </w:p>
          <w:p>
            <w:pPr>
              <w:jc w:val="both"/>
              <w:keepLines w:val="0"/>
              <w:keepNext w:val="0"/>
              <w:pageBreakBefore w:val="0"/>
              <w:spacing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3、法律、法规和招标文件规定的无效情形</w:t>
            </w:r>
            <w:r/>
          </w:p>
          <w:p>
            <w:pPr>
              <w:jc w:val="both"/>
              <w:keepLines w:val="0"/>
              <w:keepNext w:val="0"/>
              <w:pageBreakBefore w:val="0"/>
              <w:spacing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（三）技术响应</w:t>
            </w:r>
            <w:r/>
          </w:p>
          <w:p>
            <w:pPr>
              <w:jc w:val="both"/>
              <w:keepLines w:val="0"/>
              <w:keepNext w:val="0"/>
              <w:pageBreakBefore w:val="0"/>
              <w:spacing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1、《偏离表》</w:t>
            </w:r>
            <w:r>
              <w:rPr>
                <w:rFonts w:hint="eastAsia" w:ascii="宋体" w:hAnsi="宋体" w:eastAsia="宋体" w:cs="宋体"/>
                <w:b w:val="0"/>
                <w:bCs w:val="0"/>
                <w:color w:val="auto"/>
                <w:sz w:val="24"/>
                <w:szCs w:val="24"/>
                <w:highlight w:val="none"/>
              </w:rPr>
              <w:t xml:space="preserve">（加盖电子签章，格式见招标文件第七章《投标文件相关格式》）。</w:t>
            </w:r>
            <w:r/>
          </w:p>
          <w:p>
            <w:pPr>
              <w:jc w:val="both"/>
              <w:keepLines w:val="0"/>
              <w:keepNext w:val="0"/>
              <w:pageBreakBefore w:val="0"/>
              <w:spacing w:line="240" w:lineRule="auto"/>
              <w:widowControl w:val="off"/>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2、供货、质量安全保证书</w:t>
            </w:r>
            <w:r>
              <w:rPr>
                <w:rFonts w:hint="eastAsia" w:ascii="宋体" w:hAnsi="宋体" w:eastAsia="宋体" w:cs="宋体"/>
                <w:b w:val="0"/>
                <w:bCs w:val="0"/>
                <w:color w:val="auto"/>
                <w:sz w:val="24"/>
                <w:szCs w:val="24"/>
                <w:highlight w:val="none"/>
              </w:rPr>
              <w:t xml:space="preserve">（加盖电子签章，格式见招标文件第七章《投标文件相关格式》）。</w:t>
            </w:r>
            <w:r/>
          </w:p>
          <w:p>
            <w:pPr>
              <w:jc w:val="both"/>
              <w:keepLines w:val="0"/>
              <w:keepNext w:val="0"/>
              <w:pageBreakBefore w:val="0"/>
              <w:spacing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四、综合评审评分项</w:t>
            </w:r>
            <w:r/>
          </w:p>
          <w:p>
            <w:pPr>
              <w:jc w:val="both"/>
              <w:keepLines w:val="0"/>
              <w:keepNext w:val="0"/>
              <w:pageBreakBefore w:val="0"/>
              <w:spacing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（一）技术部分</w:t>
            </w:r>
            <w:r/>
          </w:p>
          <w:p>
            <w:pPr>
              <w:jc w:val="both"/>
              <w:keepLines w:val="0"/>
              <w:keepNext w:val="0"/>
              <w:pageBreakBefore w:val="0"/>
              <w:spacing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1、食材供应及配送方案</w:t>
            </w:r>
            <w:r>
              <w:rPr>
                <w:rFonts w:hint="eastAsia" w:ascii="宋体" w:hAnsi="宋体" w:eastAsia="宋体" w:cs="宋体"/>
                <w:color w:val="auto"/>
                <w:sz w:val="24"/>
                <w:szCs w:val="24"/>
                <w:highlight w:val="none"/>
              </w:rPr>
              <w:t xml:space="preserve">（要求见招标文件第六章《采购需求》及第四章《评标标准》中《评分细则》）；</w:t>
            </w:r>
            <w:r/>
          </w:p>
          <w:p>
            <w:pPr>
              <w:jc w:val="both"/>
              <w:keepLines w:val="0"/>
              <w:keepNext w:val="0"/>
              <w:pageBreakBefore w:val="0"/>
              <w:spacing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2、食材质量保证措施</w:t>
            </w:r>
            <w:r>
              <w:rPr>
                <w:rFonts w:hint="eastAsia" w:ascii="宋体" w:hAnsi="宋体" w:eastAsia="宋体" w:cs="宋体"/>
                <w:color w:val="auto"/>
                <w:sz w:val="24"/>
                <w:szCs w:val="24"/>
                <w:highlight w:val="none"/>
              </w:rPr>
              <w:t xml:space="preserve">（要求见招标文件第六章《采购需求》及第四章《评标标准》中《评分细则》）；</w:t>
            </w:r>
            <w:r/>
          </w:p>
          <w:p>
            <w:pPr>
              <w:jc w:val="both"/>
              <w:keepLines w:val="0"/>
              <w:keepNext w:val="0"/>
              <w:pageBreakBefore w:val="0"/>
              <w:spacing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3、配合与服从采购人管理方案</w:t>
            </w:r>
            <w:r>
              <w:rPr>
                <w:rFonts w:hint="eastAsia" w:ascii="宋体" w:hAnsi="宋体" w:eastAsia="宋体" w:cs="宋体"/>
                <w:color w:val="auto"/>
                <w:sz w:val="24"/>
                <w:szCs w:val="24"/>
                <w:highlight w:val="none"/>
              </w:rPr>
              <w:t xml:space="preserve">（要求见招标文件第六章《采购需求》及第四章《评标标准》中《评分细则》）；</w:t>
            </w:r>
            <w:r/>
          </w:p>
          <w:p>
            <w:pPr>
              <w:jc w:val="both"/>
              <w:keepLines w:val="0"/>
              <w:keepNext w:val="0"/>
              <w:pageBreakBefore w:val="0"/>
              <w:spacing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4、处理突发食品安全事件的应急预案</w:t>
            </w:r>
            <w:r>
              <w:rPr>
                <w:rFonts w:hint="eastAsia" w:ascii="宋体" w:hAnsi="宋体" w:eastAsia="宋体" w:cs="宋体"/>
                <w:color w:val="auto"/>
                <w:sz w:val="24"/>
                <w:szCs w:val="24"/>
                <w:highlight w:val="none"/>
              </w:rPr>
              <w:t xml:space="preserve">（要求见招标文件第六章《采购需求》及第四章《评标标准》中《评分细则》）；</w:t>
            </w:r>
            <w:r/>
          </w:p>
          <w:p>
            <w:pPr>
              <w:jc w:val="both"/>
              <w:keepLines w:val="0"/>
              <w:keepNext w:val="0"/>
              <w:pageBreakBefore w:val="0"/>
              <w:spacing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5、退换货承诺方案</w:t>
            </w:r>
            <w:r>
              <w:rPr>
                <w:rFonts w:hint="eastAsia" w:ascii="宋体" w:hAnsi="宋体" w:eastAsia="宋体" w:cs="宋体"/>
                <w:color w:val="auto"/>
                <w:sz w:val="24"/>
                <w:szCs w:val="24"/>
                <w:highlight w:val="none"/>
              </w:rPr>
              <w:t xml:space="preserve">（要求见招标文件第六章《采购需求》及第四章《评标标准》中《评分细则》）；</w:t>
            </w:r>
            <w:r/>
          </w:p>
          <w:p>
            <w:pPr>
              <w:jc w:val="both"/>
              <w:keepLines w:val="0"/>
              <w:keepNext w:val="0"/>
              <w:pageBreakBefore w:val="0"/>
              <w:spacing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、评分细则中评分得分需提供的相关证明文件扫描件。</w:t>
            </w:r>
            <w:r/>
          </w:p>
          <w:p>
            <w:pPr>
              <w:jc w:val="both"/>
              <w:keepLines w:val="0"/>
              <w:keepNext w:val="0"/>
              <w:pageBreakBefore w:val="0"/>
              <w:spacing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（二）</w:t>
            </w:r>
            <w:r>
              <w:rPr>
                <w:rFonts w:hint="eastAsia" w:ascii="宋体" w:hAnsi="宋体" w:eastAsia="宋体" w:cs="宋体"/>
                <w:b/>
                <w:bCs/>
                <w:color w:val="auto"/>
                <w:sz w:val="24"/>
                <w:szCs w:val="24"/>
                <w:highlight w:val="none"/>
              </w:rPr>
              <w:t xml:space="preserve">商务部分</w:t>
            </w:r>
            <w:r/>
          </w:p>
          <w:p>
            <w:pPr>
              <w:jc w:val="both"/>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1、人员配备方案</w:t>
            </w:r>
            <w:r>
              <w:rPr>
                <w:rFonts w:hint="eastAsia" w:ascii="宋体" w:hAnsi="宋体" w:eastAsia="宋体" w:cs="宋体"/>
                <w:b w:val="0"/>
                <w:bCs w:val="0"/>
                <w:color w:val="auto"/>
                <w:sz w:val="24"/>
                <w:szCs w:val="24"/>
                <w:highlight w:val="none"/>
              </w:rPr>
              <w:t xml:space="preserve">（要求见招标文件第四章《评标标准》中《评分细则》）；</w:t>
            </w:r>
            <w:r/>
          </w:p>
          <w:p>
            <w:pPr>
              <w:jc w:val="both"/>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2、车辆配备方案</w:t>
            </w:r>
            <w:r>
              <w:rPr>
                <w:rFonts w:hint="eastAsia" w:ascii="宋体" w:hAnsi="宋体" w:eastAsia="宋体" w:cs="宋体"/>
                <w:b w:val="0"/>
                <w:bCs w:val="0"/>
                <w:color w:val="auto"/>
                <w:sz w:val="24"/>
                <w:szCs w:val="24"/>
                <w:highlight w:val="none"/>
              </w:rPr>
              <w:t xml:space="preserve">（要求见招标文件第四章《评标标准》中《评分细则》）；</w:t>
            </w:r>
            <w:r/>
          </w:p>
          <w:p>
            <w:pPr>
              <w:jc w:val="both"/>
              <w:keepLines w:val="0"/>
              <w:keepNext w:val="0"/>
              <w:pageBreakBefore w:val="0"/>
              <w:spacing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投标人</w:t>
            </w:r>
            <w:r>
              <w:rPr>
                <w:rFonts w:hint="eastAsia" w:ascii="宋体" w:hAnsi="宋体" w:eastAsia="宋体" w:cs="宋体"/>
                <w:b/>
                <w:bCs/>
                <w:color w:val="auto"/>
                <w:sz w:val="24"/>
                <w:szCs w:val="24"/>
                <w:highlight w:val="none"/>
                <w:lang w:val="en-US" w:eastAsia="zh-CN"/>
              </w:rPr>
              <w:t xml:space="preserve">业绩</w:t>
            </w:r>
            <w:r>
              <w:rPr>
                <w:rFonts w:hint="eastAsia" w:ascii="宋体" w:hAnsi="宋体" w:eastAsia="宋体" w:cs="宋体"/>
                <w:b w:val="0"/>
                <w:bCs w:val="0"/>
                <w:color w:val="auto"/>
                <w:sz w:val="24"/>
                <w:szCs w:val="24"/>
                <w:highlight w:val="none"/>
              </w:rPr>
              <w:t xml:space="preserve">（要求见招标文件第四章《评标标准》中《评分细则》）；</w:t>
            </w:r>
            <w:r/>
          </w:p>
          <w:p>
            <w:pPr>
              <w:jc w:val="both"/>
              <w:keepLines w:val="0"/>
              <w:keepNext w:val="0"/>
              <w:pageBreakBefore w:val="0"/>
              <w:spacing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投标人</w:t>
            </w:r>
            <w:r>
              <w:rPr>
                <w:rFonts w:hint="eastAsia" w:ascii="宋体" w:hAnsi="宋体" w:eastAsia="宋体" w:cs="宋体"/>
                <w:b/>
                <w:bCs/>
                <w:color w:val="auto"/>
                <w:sz w:val="24"/>
                <w:szCs w:val="24"/>
                <w:highlight w:val="none"/>
                <w:lang w:val="en-US" w:eastAsia="zh-CN"/>
              </w:rPr>
              <w:t xml:space="preserve">评价</w:t>
            </w:r>
            <w:r>
              <w:rPr>
                <w:rFonts w:hint="eastAsia" w:ascii="宋体" w:hAnsi="宋体" w:eastAsia="宋体" w:cs="宋体"/>
                <w:b w:val="0"/>
                <w:bCs w:val="0"/>
                <w:color w:val="auto"/>
                <w:sz w:val="24"/>
                <w:szCs w:val="24"/>
                <w:highlight w:val="none"/>
              </w:rPr>
              <w:t xml:space="preserve">（要求见招标文件第四章《评标标准》中《评分细则》）；</w:t>
            </w:r>
            <w:r/>
          </w:p>
          <w:p>
            <w:pPr>
              <w:jc w:val="both"/>
              <w:keepLines w:val="0"/>
              <w:keepNext w:val="0"/>
              <w:pageBreakBefore w:val="0"/>
              <w:spacing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、投标人其它证明文件及材料扫描件。</w:t>
            </w:r>
            <w:r/>
          </w:p>
          <w:p>
            <w:pPr>
              <w:jc w:val="both"/>
              <w:keepLines w:val="0"/>
              <w:keepNext w:val="0"/>
              <w:pageBreakBefore w:val="0"/>
              <w:spacing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五、其他部分</w:t>
            </w:r>
            <w:r/>
          </w:p>
          <w:p>
            <w:pPr>
              <w:jc w:val="both"/>
              <w:keepLines w:val="0"/>
              <w:keepNext w:val="0"/>
              <w:pageBreakBefore w:val="0"/>
              <w:spacing w:line="24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1、价格折扣文件格式：无。</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注</w:t>
            </w:r>
            <w:r>
              <w:rPr>
                <w:rFonts w:hint="eastAsia" w:ascii="宋体" w:hAnsi="宋体" w:eastAsia="宋体" w:cs="宋体"/>
                <w:color w:val="auto"/>
                <w:sz w:val="24"/>
                <w:szCs w:val="24"/>
                <w:highlight w:val="none"/>
              </w:rPr>
              <w:t xml:space="preserve">：</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1、投标人应对以上文件的合法性、真实性负责。</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1047"/>
        </w:trPr>
        <w:tc>
          <w:tcPr>
            <w:tcMar>
              <w:left w:w="108" w:type="dxa"/>
              <w:top w:w="0" w:type="dxa"/>
              <w:right w:w="108" w:type="dxa"/>
              <w:bottom w:w="0" w:type="dxa"/>
            </w:tcMar>
            <w:tcW w:w="74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(十三)2</w:t>
            </w:r>
            <w:r/>
          </w:p>
        </w:tc>
        <w:tc>
          <w:tcPr>
            <w:tcMar>
              <w:left w:w="108" w:type="dxa"/>
              <w:top w:w="0" w:type="dxa"/>
              <w:right w:w="108" w:type="dxa"/>
              <w:bottom w:w="0" w:type="dxa"/>
            </w:tcMar>
            <w:tcW w:w="4256" w:type="pct"/>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商务条件见：</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一、本文件第四章《评标标准》中《评分细则》。</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二、本文件第三章《投标资料表》中(十二)1和(十二)2。</w:t>
            </w:r>
            <w:r/>
          </w:p>
        </w:tc>
      </w:tr>
      <w:tr>
        <w:trPr>
          <w:jc w:val="center"/>
          <w:trHeight w:val="679"/>
        </w:trPr>
        <w:tc>
          <w:tcPr>
            <w:tcMar>
              <w:left w:w="108" w:type="dxa"/>
              <w:top w:w="0" w:type="dxa"/>
              <w:right w:w="108" w:type="dxa"/>
              <w:bottom w:w="0" w:type="dxa"/>
            </w:tcMar>
            <w:tcW w:w="74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(十三)3</w:t>
            </w:r>
            <w:r/>
          </w:p>
        </w:tc>
        <w:tc>
          <w:tcPr>
            <w:tcMar>
              <w:left w:w="108" w:type="dxa"/>
              <w:top w:w="0" w:type="dxa"/>
              <w:right w:w="108" w:type="dxa"/>
              <w:bottom w:w="0" w:type="dxa"/>
            </w:tcMar>
            <w:tcW w:w="4256" w:type="pct"/>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交货和提供服务的时间：</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见本文件第五章 《拟签订的合同文本》及或本文件第六章《采购需求》。</w:t>
            </w:r>
            <w:r/>
          </w:p>
        </w:tc>
      </w:tr>
      <w:tr>
        <w:trPr>
          <w:jc w:val="center"/>
          <w:trHeight w:val="2513"/>
        </w:trPr>
        <w:tc>
          <w:tcPr>
            <w:tcMar>
              <w:left w:w="108" w:type="dxa"/>
              <w:top w:w="0" w:type="dxa"/>
              <w:right w:w="108" w:type="dxa"/>
              <w:bottom w:w="0" w:type="dxa"/>
            </w:tcMar>
            <w:tcW w:w="74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(十四)</w:t>
            </w:r>
            <w:r/>
          </w:p>
        </w:tc>
        <w:tc>
          <w:tcPr>
            <w:tcMar>
              <w:left w:w="108" w:type="dxa"/>
              <w:top w:w="0" w:type="dxa"/>
              <w:right w:w="108" w:type="dxa"/>
              <w:bottom w:w="0" w:type="dxa"/>
            </w:tcMar>
            <w:tcW w:w="4256" w:type="pct"/>
            <w:vAlign w:val="center"/>
            <w:textDirection w:val="lrTb"/>
            <w:noWrap w:val="false"/>
          </w:tcPr>
          <w:p>
            <w:pPr>
              <w:jc w:val="both"/>
              <w:keepLines w:val="0"/>
              <w:keepNext w:val="0"/>
              <w:pageBreakBefore w:val="0"/>
              <w:spacing w:line="24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本项目总的预算金额为：人民币</w:t>
            </w:r>
            <w:r>
              <w:rPr>
                <w:rFonts w:hint="eastAsia" w:ascii="宋体" w:hAnsi="宋体" w:eastAsia="宋体" w:cs="宋体"/>
                <w:b/>
                <w:bCs/>
                <w:color w:val="auto"/>
                <w:sz w:val="24"/>
                <w:szCs w:val="24"/>
                <w:highlight w:val="none"/>
                <w:lang w:val="en-US" w:eastAsia="zh-CN"/>
              </w:rPr>
              <w:t xml:space="preserve">220.00</w:t>
            </w:r>
            <w:r>
              <w:rPr>
                <w:rFonts w:hint="eastAsia" w:ascii="宋体" w:hAnsi="宋体" w:eastAsia="宋体" w:cs="宋体"/>
                <w:b/>
                <w:bCs/>
                <w:color w:val="auto"/>
                <w:sz w:val="24"/>
                <w:szCs w:val="24"/>
                <w:highlight w:val="none"/>
              </w:rPr>
              <w:t xml:space="preserve">万元</w:t>
            </w:r>
            <w:r>
              <w:rPr>
                <w:rFonts w:hint="eastAsia" w:ascii="宋体" w:hAnsi="宋体" w:eastAsia="宋体" w:cs="宋体"/>
                <w:b/>
                <w:bCs/>
                <w:color w:val="auto"/>
                <w:sz w:val="24"/>
                <w:szCs w:val="24"/>
                <w:highlight w:val="none"/>
                <w:lang w:val="en-US" w:eastAsia="zh-CN"/>
              </w:rPr>
              <w:t xml:space="preserve">/年</w:t>
            </w:r>
            <w:r>
              <w:rPr>
                <w:rFonts w:hint="eastAsia" w:ascii="宋体" w:hAnsi="宋体" w:eastAsia="宋体" w:cs="宋体"/>
                <w:b/>
                <w:bCs/>
                <w:color w:val="auto"/>
                <w:sz w:val="24"/>
                <w:szCs w:val="24"/>
                <w:highlight w:val="none"/>
              </w:rPr>
              <w:t xml:space="preserve">，共分为</w:t>
            </w: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个采购</w:t>
            </w:r>
            <w:r>
              <w:rPr>
                <w:rFonts w:hint="eastAsia" w:ascii="宋体" w:hAnsi="宋体" w:eastAsia="宋体" w:cs="宋体"/>
                <w:b/>
                <w:bCs/>
                <w:color w:val="auto"/>
                <w:sz w:val="24"/>
                <w:szCs w:val="24"/>
                <w:highlight w:val="none"/>
                <w:lang w:val="en-US" w:eastAsia="zh-CN"/>
              </w:rPr>
              <w:t xml:space="preserve">包</w:t>
            </w:r>
            <w:r>
              <w:rPr>
                <w:rFonts w:hint="eastAsia" w:ascii="宋体" w:hAnsi="宋体" w:eastAsia="宋体" w:cs="宋体"/>
                <w:b/>
                <w:bCs/>
                <w:color w:val="auto"/>
                <w:sz w:val="24"/>
                <w:szCs w:val="24"/>
                <w:highlight w:val="none"/>
                <w:lang w:eastAsia="zh-CN"/>
              </w:rPr>
              <w:t xml:space="preserve">，具体如下：</w:t>
            </w:r>
            <w:r/>
          </w:p>
          <w:p>
            <w:pPr>
              <w:jc w:val="both"/>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采购包1：大米，供应量约30.00万元/年；</w:t>
            </w:r>
            <w:r/>
          </w:p>
          <w:p>
            <w:pPr>
              <w:jc w:val="both"/>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采购包2：面粉，供应量约70.00万元/年；</w:t>
            </w:r>
            <w:r/>
          </w:p>
          <w:p>
            <w:pPr>
              <w:jc w:val="both"/>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采购包3：食用油，供应量约30.00万元/年；</w:t>
            </w:r>
            <w:r/>
          </w:p>
          <w:p>
            <w:pPr>
              <w:jc w:val="both"/>
              <w:keepLines w:val="0"/>
              <w:keepNext w:val="0"/>
              <w:pageBreakBefore w:val="0"/>
              <w:spacing w:line="24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采购包4：</w:t>
            </w:r>
            <w:r>
              <w:rPr>
                <w:rFonts w:hint="eastAsia" w:ascii="宋体" w:hAnsi="宋体" w:eastAsia="宋体" w:cs="宋体"/>
                <w:b w:val="0"/>
                <w:bCs w:val="0"/>
                <w:color w:val="auto"/>
                <w:sz w:val="24"/>
                <w:szCs w:val="24"/>
                <w:highlight w:val="none"/>
                <w:lang w:val="en-US" w:eastAsia="zh-CN"/>
              </w:rPr>
              <w:t xml:space="preserve">调味品</w:t>
            </w:r>
            <w:r>
              <w:rPr>
                <w:rFonts w:hint="eastAsia" w:ascii="宋体" w:hAnsi="宋体" w:cs="宋体"/>
                <w:b w:val="0"/>
                <w:bCs w:val="0"/>
                <w:color w:val="auto"/>
                <w:sz w:val="24"/>
                <w:szCs w:val="24"/>
                <w:highlight w:val="none"/>
                <w:lang w:val="en-US" w:eastAsia="zh-CN"/>
              </w:rPr>
              <w:t xml:space="preserve">（含干货）</w:t>
            </w:r>
            <w:r>
              <w:rPr>
                <w:rFonts w:hint="eastAsia" w:ascii="宋体" w:hAnsi="宋体" w:eastAsia="宋体" w:cs="宋体"/>
                <w:b w:val="0"/>
                <w:bCs w:val="0"/>
                <w:color w:val="auto"/>
                <w:sz w:val="24"/>
                <w:szCs w:val="24"/>
                <w:highlight w:val="none"/>
                <w:lang w:val="en-US" w:eastAsia="zh-CN"/>
              </w:rPr>
              <w:t xml:space="preserve">，供应量约90.00万元/年；</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本项目按照优惠率进行投标报价，不接受低于或等于0.00%的综合优惠率</w:t>
            </w:r>
            <w:r>
              <w:rPr>
                <w:rFonts w:hint="eastAsia" w:ascii="宋体" w:hAnsi="宋体" w:eastAsia="宋体" w:cs="宋体"/>
                <w:b/>
                <w:bCs/>
                <w:color w:val="auto"/>
                <w:sz w:val="24"/>
                <w:szCs w:val="24"/>
                <w:highlight w:val="none"/>
                <w:lang w:eastAsia="zh-CN"/>
              </w:rPr>
              <w:t xml:space="preserve">的</w:t>
            </w:r>
            <w:r>
              <w:rPr>
                <w:rFonts w:hint="eastAsia" w:ascii="宋体" w:hAnsi="宋体" w:eastAsia="宋体" w:cs="宋体"/>
                <w:b/>
                <w:bCs/>
                <w:color w:val="auto"/>
                <w:sz w:val="24"/>
                <w:szCs w:val="24"/>
                <w:highlight w:val="none"/>
                <w:lang w:val="en-US" w:eastAsia="zh-CN"/>
              </w:rPr>
              <w:t xml:space="preserve">投标报价</w:t>
            </w:r>
            <w:r>
              <w:rPr>
                <w:rFonts w:hint="eastAsia" w:ascii="宋体" w:hAnsi="宋体" w:eastAsia="宋体" w:cs="宋体"/>
                <w:b/>
                <w:bCs/>
                <w:color w:val="auto"/>
                <w:sz w:val="24"/>
                <w:szCs w:val="24"/>
                <w:highlight w:val="none"/>
              </w:rPr>
              <w:t xml:space="preserve">。采购人不再支付报价以外的任何费用。</w:t>
            </w:r>
            <w:r/>
          </w:p>
        </w:tc>
      </w:tr>
      <w:tr>
        <w:trPr>
          <w:jc w:val="center"/>
          <w:trHeight w:val="388"/>
        </w:trPr>
        <w:tc>
          <w:tcPr>
            <w:tcMar>
              <w:left w:w="108" w:type="dxa"/>
              <w:top w:w="0" w:type="dxa"/>
              <w:right w:w="108" w:type="dxa"/>
              <w:bottom w:w="0" w:type="dxa"/>
            </w:tcMar>
            <w:tcW w:w="74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(十五)</w:t>
            </w:r>
            <w:r/>
          </w:p>
        </w:tc>
        <w:tc>
          <w:tcPr>
            <w:tcMar>
              <w:left w:w="108" w:type="dxa"/>
              <w:top w:w="0" w:type="dxa"/>
              <w:right w:w="108" w:type="dxa"/>
              <w:bottom w:w="0" w:type="dxa"/>
            </w:tcMar>
            <w:tcW w:w="4256" w:type="pct"/>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以</w:t>
            </w:r>
            <w:r>
              <w:rPr>
                <w:rFonts w:hint="eastAsia" w:ascii="宋体" w:hAnsi="宋体" w:eastAsia="宋体" w:cs="宋体"/>
                <w:color w:val="auto"/>
                <w:sz w:val="24"/>
                <w:szCs w:val="24"/>
                <w:highlight w:val="none"/>
                <w:lang w:val="en-US" w:eastAsia="zh-CN"/>
              </w:rPr>
              <w:t xml:space="preserve">优惠率</w:t>
            </w:r>
            <w:r>
              <w:rPr>
                <w:rFonts w:hint="eastAsia" w:ascii="宋体" w:hAnsi="宋体" w:eastAsia="宋体" w:cs="宋体"/>
                <w:color w:val="auto"/>
                <w:sz w:val="24"/>
                <w:szCs w:val="24"/>
                <w:highlight w:val="none"/>
              </w:rPr>
              <w:t xml:space="preserve">报价。</w:t>
            </w:r>
            <w:r/>
          </w:p>
        </w:tc>
      </w:tr>
      <w:tr>
        <w:trPr>
          <w:jc w:val="center"/>
          <w:trHeight w:val="3879"/>
        </w:trPr>
        <w:tc>
          <w:tcPr>
            <w:tcMar>
              <w:left w:w="108" w:type="dxa"/>
              <w:top w:w="0" w:type="dxa"/>
              <w:right w:w="108" w:type="dxa"/>
              <w:bottom w:w="0" w:type="dxa"/>
            </w:tcMar>
            <w:tcW w:w="74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（十七）</w:t>
            </w:r>
            <w:r/>
          </w:p>
        </w:tc>
        <w:tc>
          <w:tcPr>
            <w:tcMar>
              <w:left w:w="108" w:type="dxa"/>
              <w:top w:w="0" w:type="dxa"/>
              <w:right w:w="108" w:type="dxa"/>
              <w:bottom w:w="0" w:type="dxa"/>
            </w:tcMar>
            <w:tcW w:w="4256" w:type="pct"/>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投标人须用政府采购客户端工具导入“苏采云”系统下载的采购文件（后缀）、供应商操作手册及政府采购客户端工具可通过“苏采云”系统（网址：</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hint="eastAsia" w:ascii="宋体" w:hAnsi="宋体" w:eastAsia="宋体" w:cs="宋体"/>
                <w:color w:val="auto"/>
                <w:sz w:val="24"/>
                <w:szCs w:val="24"/>
                <w:highlight w:val="none"/>
              </w:rPr>
              <w:fldChar w:fldCharType="separate"/>
            </w:r>
            <w:r>
              <w:rPr>
                <w:rStyle w:val="931"/>
                <w:rFonts w:hint="eastAsia" w:ascii="宋体" w:hAnsi="宋体" w:eastAsia="宋体" w:cs="宋体"/>
                <w:color w:val="auto"/>
                <w:sz w:val="24"/>
                <w:szCs w:val="24"/>
                <w:highlight w:val="none"/>
                <w:u w:val="none"/>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931"/>
                <w:rFonts w:hint="eastAsia" w:ascii="宋体" w:hAnsi="宋体" w:eastAsia="宋体" w:cs="宋体"/>
                <w:color w:val="auto"/>
                <w:sz w:val="24"/>
                <w:szCs w:val="24"/>
                <w:highlight w:val="none"/>
                <w:u w:val="none"/>
              </w:rPr>
              <w:fldChar w:fldCharType="end"/>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投标人应当通过“苏采云”系统提交数据电文形式的投标文件（即电子投标）。</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特别说明：政府采购客户端工具需要导出加密的投标文件（后缀名为</w:t>
            </w:r>
            <w:r>
              <w:rPr>
                <w:rFonts w:hint="eastAsia" w:ascii="宋体" w:hAnsi="宋体" w:eastAsia="宋体" w:cs="宋体"/>
                <w:b/>
                <w:bCs/>
                <w:color w:val="auto"/>
                <w:sz w:val="24"/>
                <w:szCs w:val="24"/>
                <w:highlight w:val="none"/>
              </w:rPr>
              <w:t xml:space="preserve">zip</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投标文件不得超过150M！</w:t>
            </w:r>
            <w:r>
              <w:rPr>
                <w:rFonts w:hint="eastAsia" w:ascii="宋体" w:hAnsi="宋体" w:eastAsia="宋体" w:cs="宋体"/>
                <w:color w:val="auto"/>
                <w:sz w:val="24"/>
                <w:szCs w:val="24"/>
                <w:highlight w:val="none"/>
              </w:rPr>
              <w:t xml:space="preserve">名为</w:t>
            </w:r>
            <w:r>
              <w:rPr>
                <w:rFonts w:hint="eastAsia" w:ascii="宋体" w:hAnsi="宋体" w:eastAsia="宋体" w:cs="宋体"/>
                <w:b/>
                <w:bCs/>
                <w:color w:val="auto"/>
                <w:sz w:val="24"/>
                <w:szCs w:val="24"/>
                <w:highlight w:val="none"/>
              </w:rPr>
              <w:t xml:space="preserve">“.kedt”</w:t>
            </w:r>
            <w:r>
              <w:rPr>
                <w:rFonts w:hint="eastAsia" w:ascii="宋体" w:hAnsi="宋体" w:eastAsia="宋体" w:cs="宋体"/>
                <w:color w:val="auto"/>
                <w:sz w:val="24"/>
                <w:szCs w:val="24"/>
                <w:highlight w:val="none"/>
              </w:rPr>
              <w:t xml:space="preserve">）后，离线编制投标文件。采购文件（后缀名为</w:t>
            </w:r>
            <w:r>
              <w:rPr>
                <w:rFonts w:hint="eastAsia" w:ascii="宋体" w:hAnsi="宋体" w:eastAsia="宋体" w:cs="宋体"/>
                <w:b/>
                <w:bCs/>
                <w:color w:val="auto"/>
                <w:sz w:val="24"/>
                <w:szCs w:val="24"/>
                <w:highlight w:val="none"/>
              </w:rPr>
              <w:t xml:space="preserve">“.kedt”）。</w:t>
            </w:r>
            <w:r/>
          </w:p>
        </w:tc>
      </w:tr>
      <w:tr>
        <w:trPr>
          <w:jc w:val="center"/>
          <w:trHeight w:val="384"/>
        </w:trPr>
        <w:tc>
          <w:tcPr>
            <w:tcMar>
              <w:left w:w="108" w:type="dxa"/>
              <w:top w:w="0" w:type="dxa"/>
              <w:right w:w="108" w:type="dxa"/>
              <w:bottom w:w="0" w:type="dxa"/>
            </w:tcMar>
            <w:tcW w:w="74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(十八)</w:t>
            </w:r>
            <w:r/>
          </w:p>
        </w:tc>
        <w:tc>
          <w:tcPr>
            <w:tcMar>
              <w:left w:w="108" w:type="dxa"/>
              <w:top w:w="0" w:type="dxa"/>
              <w:right w:w="108" w:type="dxa"/>
              <w:bottom w:w="0" w:type="dxa"/>
            </w:tcMar>
            <w:tcW w:w="4256" w:type="pct"/>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见本文件第三章《投标资料表》中(十二)1和(十二)2</w:t>
            </w:r>
            <w:r/>
          </w:p>
        </w:tc>
      </w:tr>
      <w:tr>
        <w:trPr>
          <w:jc w:val="center"/>
          <w:trHeight w:val="1589"/>
        </w:trPr>
        <w:tc>
          <w:tcPr>
            <w:tcMar>
              <w:left w:w="108" w:type="dxa"/>
              <w:top w:w="0" w:type="dxa"/>
              <w:right w:w="108" w:type="dxa"/>
              <w:bottom w:w="0" w:type="dxa"/>
            </w:tcMar>
            <w:tcW w:w="74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(十九)</w:t>
            </w:r>
            <w:r/>
          </w:p>
        </w:tc>
        <w:tc>
          <w:tcPr>
            <w:tcMar>
              <w:left w:w="108" w:type="dxa"/>
              <w:top w:w="0" w:type="dxa"/>
              <w:right w:w="108" w:type="dxa"/>
              <w:bottom w:w="0" w:type="dxa"/>
            </w:tcMar>
            <w:tcW w:w="4256" w:type="pct"/>
            <w:vAlign w:val="center"/>
            <w:textDirection w:val="lrTb"/>
            <w:noWrap w:val="false"/>
          </w:tcPr>
          <w:p>
            <w:pPr>
              <w:ind w:left="560" w:hanging="560"/>
              <w:jc w:val="both"/>
              <w:keepLines w:val="0"/>
              <w:keepNext w:val="0"/>
              <w:pageBreakBefore w:val="0"/>
              <w:spacing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投标文件的提交与接收：</w:t>
            </w:r>
            <w:r/>
          </w:p>
          <w:p>
            <w:pPr>
              <w:ind w:left="560" w:hanging="560"/>
              <w:jc w:val="both"/>
              <w:keepLines w:val="0"/>
              <w:keepNext w:val="0"/>
              <w:pageBreakBefore w:val="0"/>
              <w:spacing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1、投标文件提交与接收时间：202</w:t>
            </w: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年</w:t>
            </w:r>
            <w:r>
              <w:rPr>
                <w:rFonts w:hint="eastAsia" w:ascii="宋体" w:hAnsi="宋体" w:eastAsia="宋体" w:cs="宋体"/>
                <w:b/>
                <w:bCs/>
                <w:color w:val="auto"/>
                <w:sz w:val="24"/>
                <w:szCs w:val="24"/>
                <w:highlight w:val="none"/>
                <w:u w:val="single"/>
              </w:rPr>
              <w:t xml:space="preserve"> </w:t>
            </w:r>
            <w:r>
              <w:rPr>
                <w:rFonts w:hint="eastAsia" w:ascii="宋体" w:hAnsi="宋体" w:cs="宋体"/>
                <w:b/>
                <w:bCs/>
                <w:color w:val="auto"/>
                <w:sz w:val="24"/>
                <w:szCs w:val="24"/>
                <w:highlight w:val="none"/>
                <w:u w:val="single"/>
                <w:lang w:val="en-US" w:eastAsia="zh-CN"/>
              </w:rPr>
              <w:t xml:space="preserve">1</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rPr>
              <w:t xml:space="preserve">月</w:t>
            </w:r>
            <w:r>
              <w:rPr>
                <w:rFonts w:hint="eastAsia" w:ascii="宋体" w:hAnsi="宋体" w:eastAsia="宋体" w:cs="宋体"/>
                <w:b/>
                <w:bCs/>
                <w:color w:val="auto"/>
                <w:sz w:val="24"/>
                <w:szCs w:val="24"/>
                <w:highlight w:val="none"/>
                <w:u w:val="single"/>
              </w:rPr>
              <w:t xml:space="preserve"> </w:t>
            </w:r>
            <w:r>
              <w:rPr>
                <w:rFonts w:hint="eastAsia" w:ascii="宋体" w:hAnsi="宋体" w:cs="宋体"/>
                <w:b/>
                <w:bCs/>
                <w:color w:val="auto"/>
                <w:sz w:val="24"/>
                <w:szCs w:val="24"/>
                <w:highlight w:val="none"/>
                <w:u w:val="single"/>
                <w:lang w:val="en-US" w:eastAsia="zh-CN"/>
              </w:rPr>
              <w:t xml:space="preserve">21</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rPr>
              <w:t xml:space="preserve">日 09：30前。</w:t>
            </w:r>
            <w:r/>
          </w:p>
          <w:p>
            <w:pPr>
              <w:ind w:left="560" w:hanging="560"/>
              <w:jc w:val="both"/>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2、投标文件提交与接收地点：</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投标人应当通过“苏采云”系统提交数据电文形式的投标文件（即电子投标），“苏采云”系统自动接收。</w:t>
            </w:r>
            <w:r/>
          </w:p>
        </w:tc>
      </w:tr>
      <w:tr>
        <w:trPr>
          <w:jc w:val="center"/>
          <w:trHeight w:val="90"/>
        </w:trPr>
        <w:tc>
          <w:tcPr>
            <w:tcMar>
              <w:left w:w="108" w:type="dxa"/>
              <w:top w:w="0" w:type="dxa"/>
              <w:right w:w="108" w:type="dxa"/>
              <w:bottom w:w="0" w:type="dxa"/>
            </w:tcMar>
            <w:tcW w:w="74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w:t>
            </w:r>
            <w:r/>
          </w:p>
        </w:tc>
        <w:tc>
          <w:tcPr>
            <w:tcMar>
              <w:left w:w="108" w:type="dxa"/>
              <w:top w:w="0" w:type="dxa"/>
              <w:right w:w="108" w:type="dxa"/>
              <w:bottom w:w="0" w:type="dxa"/>
            </w:tcMar>
            <w:tcW w:w="4256" w:type="pct"/>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电子投标文件应由其法定代表人或法定代表人授权代表在规定的网上投标时间内，</w:t>
            </w:r>
            <w:r>
              <w:rPr>
                <w:rFonts w:hint="eastAsia" w:ascii="宋体" w:hAnsi="宋体" w:eastAsia="宋体" w:cs="宋体"/>
                <w:b/>
                <w:color w:val="auto"/>
                <w:sz w:val="24"/>
                <w:szCs w:val="24"/>
                <w:highlight w:val="none"/>
              </w:rPr>
              <w:t xml:space="preserve">凭 CA 证书登录“苏采云”系统在线编制投标文件（电子数据），并在投标截止时间之前上传投标文件。并于开标时凭CA锁进行解密。</w:t>
            </w:r>
            <w:r/>
          </w:p>
        </w:tc>
      </w:tr>
      <w:tr>
        <w:trPr>
          <w:jc w:val="center"/>
        </w:trPr>
        <w:tc>
          <w:tcPr>
            <w:tcMar>
              <w:left w:w="108" w:type="dxa"/>
              <w:top w:w="0" w:type="dxa"/>
              <w:right w:w="108" w:type="dxa"/>
              <w:bottom w:w="0" w:type="dxa"/>
            </w:tcMar>
            <w:tcW w:w="74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四</w:t>
            </w:r>
            <w:r/>
          </w:p>
        </w:tc>
        <w:tc>
          <w:tcPr>
            <w:tcMar>
              <w:left w:w="108" w:type="dxa"/>
              <w:top w:w="0" w:type="dxa"/>
              <w:right w:w="108" w:type="dxa"/>
              <w:bottom w:w="0" w:type="dxa"/>
            </w:tcMar>
            <w:tcW w:w="4256" w:type="pct"/>
            <w:vAlign w:val="center"/>
            <w:textDirection w:val="lrTb"/>
            <w:noWrap w:val="false"/>
          </w:tcPr>
          <w:p>
            <w:pPr>
              <w:jc w:val="both"/>
              <w:keepLines w:val="0"/>
              <w:keepNext w:val="0"/>
              <w:pageBreakBefore w:val="0"/>
              <w:spacing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开标</w:t>
            </w:r>
            <w:r/>
          </w:p>
        </w:tc>
      </w:tr>
      <w:tr>
        <w:trPr>
          <w:jc w:val="center"/>
          <w:trHeight w:val="90"/>
        </w:trPr>
        <w:tc>
          <w:tcPr>
            <w:tcMar>
              <w:left w:w="108" w:type="dxa"/>
              <w:top w:w="0" w:type="dxa"/>
              <w:right w:w="108" w:type="dxa"/>
              <w:bottom w:w="0" w:type="dxa"/>
            </w:tcMar>
            <w:tcW w:w="74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(二十五)1</w:t>
            </w:r>
            <w:r/>
          </w:p>
        </w:tc>
        <w:tc>
          <w:tcPr>
            <w:tcMar>
              <w:left w:w="108" w:type="dxa"/>
              <w:top w:w="0" w:type="dxa"/>
              <w:right w:w="108" w:type="dxa"/>
              <w:bottom w:w="0" w:type="dxa"/>
            </w:tcMar>
            <w:tcW w:w="4256" w:type="pct"/>
            <w:vAlign w:val="center"/>
            <w:textDirection w:val="lrTb"/>
            <w:noWrap w:val="false"/>
          </w:tcPr>
          <w:p>
            <w:pPr>
              <w:jc w:val="both"/>
              <w:keepLines w:val="0"/>
              <w:keepNext w:val="0"/>
              <w:pageBreakBefore w:val="0"/>
              <w:spacing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开标时间及地点：</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1、开标时间：</w:t>
            </w:r>
            <w:r>
              <w:rPr>
                <w:rFonts w:hint="eastAsia" w:ascii="宋体" w:hAnsi="宋体" w:eastAsia="宋体" w:cs="宋体"/>
                <w:b/>
                <w:color w:val="auto"/>
                <w:sz w:val="24"/>
                <w:szCs w:val="24"/>
                <w:highlight w:val="none"/>
              </w:rPr>
              <w:t xml:space="preserve">202</w:t>
            </w:r>
            <w:r>
              <w:rPr>
                <w:rFonts w:hint="eastAsia" w:ascii="宋体" w:hAnsi="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rPr>
              <w:t xml:space="preserve">年</w:t>
            </w:r>
            <w:r>
              <w:rPr>
                <w:rFonts w:hint="eastAsia" w:ascii="宋体" w:hAnsi="宋体" w:eastAsia="宋体" w:cs="宋体"/>
                <w:b/>
                <w:color w:val="auto"/>
                <w:sz w:val="24"/>
                <w:szCs w:val="24"/>
                <w:highlight w:val="none"/>
                <w:u w:val="single"/>
              </w:rPr>
              <w:t xml:space="preserve"> </w:t>
            </w:r>
            <w:r>
              <w:rPr>
                <w:rFonts w:hint="eastAsia" w:ascii="宋体" w:hAnsi="宋体" w:cs="宋体"/>
                <w:b/>
                <w:color w:val="auto"/>
                <w:sz w:val="24"/>
                <w:szCs w:val="24"/>
                <w:highlight w:val="none"/>
                <w:u w:val="single"/>
                <w:lang w:val="en-US" w:eastAsia="zh-CN"/>
              </w:rPr>
              <w:t xml:space="preserve">1</w:t>
            </w:r>
            <w:r>
              <w:rPr>
                <w:rFonts w:hint="eastAsia" w:ascii="宋体" w:hAnsi="宋体" w:eastAsia="宋体" w:cs="宋体"/>
                <w:b/>
                <w:color w:val="auto"/>
                <w:sz w:val="24"/>
                <w:szCs w:val="24"/>
                <w:highlight w:val="none"/>
                <w:u w:val="single"/>
                <w:lang w:val="en-US" w:eastAsia="zh-CN"/>
              </w:rPr>
              <w:t xml:space="preserve"> </w:t>
            </w:r>
            <w:r>
              <w:rPr>
                <w:rFonts w:hint="eastAsia" w:ascii="宋体" w:hAnsi="宋体" w:eastAsia="宋体" w:cs="宋体"/>
                <w:b/>
                <w:color w:val="auto"/>
                <w:sz w:val="24"/>
                <w:szCs w:val="24"/>
                <w:highlight w:val="none"/>
              </w:rPr>
              <w:t xml:space="preserve">月</w:t>
            </w:r>
            <w:r>
              <w:rPr>
                <w:rFonts w:hint="eastAsia" w:ascii="宋体" w:hAnsi="宋体" w:eastAsia="宋体" w:cs="宋体"/>
                <w:b/>
                <w:color w:val="auto"/>
                <w:sz w:val="24"/>
                <w:szCs w:val="24"/>
                <w:highlight w:val="none"/>
                <w:u w:val="single"/>
              </w:rPr>
              <w:t xml:space="preserve"> </w:t>
            </w:r>
            <w:r>
              <w:rPr>
                <w:rFonts w:hint="eastAsia" w:ascii="宋体" w:hAnsi="宋体" w:cs="宋体"/>
                <w:b/>
                <w:color w:val="auto"/>
                <w:sz w:val="24"/>
                <w:szCs w:val="24"/>
                <w:highlight w:val="none"/>
                <w:u w:val="single"/>
                <w:lang w:val="en-US" w:eastAsia="zh-CN"/>
              </w:rPr>
              <w:t xml:space="preserve">21</w:t>
            </w:r>
            <w:r>
              <w:rPr>
                <w:rFonts w:hint="eastAsia" w:ascii="宋体" w:hAnsi="宋体" w:eastAsia="宋体" w:cs="宋体"/>
                <w:b/>
                <w:color w:val="auto"/>
                <w:sz w:val="24"/>
                <w:szCs w:val="24"/>
                <w:highlight w:val="none"/>
                <w:u w:val="single"/>
                <w:lang w:val="en-US" w:eastAsia="zh-CN"/>
              </w:rPr>
              <w:t xml:space="preserve"> </w:t>
            </w:r>
            <w:r>
              <w:rPr>
                <w:rFonts w:hint="eastAsia" w:ascii="宋体" w:hAnsi="宋体" w:eastAsia="宋体" w:cs="宋体"/>
                <w:b/>
                <w:color w:val="auto"/>
                <w:sz w:val="24"/>
                <w:szCs w:val="24"/>
                <w:highlight w:val="none"/>
              </w:rPr>
              <w:t xml:space="preserve">日09：30（标准时间）</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2、开标地点：</w:t>
            </w:r>
            <w:r>
              <w:rPr>
                <w:rFonts w:hint="eastAsia" w:ascii="宋体" w:hAnsi="宋体" w:eastAsia="宋体" w:cs="宋体"/>
                <w:color w:val="auto"/>
                <w:sz w:val="24"/>
                <w:szCs w:val="24"/>
                <w:highlight w:val="none"/>
              </w:rPr>
              <w:t xml:space="preserve">“苏采云”系统（网址： http://jszfcg.jsczt.cn/）“开标大厅”或进入徐州政府采购网（网址：http://czj.xz.gov.cn/Home/HomeIndex）--业务工作--用户登录，点击“苏采云”进入系统“开标大厅”。</w:t>
            </w:r>
            <w:r/>
          </w:p>
        </w:tc>
      </w:tr>
      <w:tr>
        <w:trPr>
          <w:jc w:val="center"/>
          <w:trHeight w:val="562"/>
        </w:trPr>
        <w:tc>
          <w:tcPr>
            <w:tcMar>
              <w:left w:w="108" w:type="dxa"/>
              <w:top w:w="0" w:type="dxa"/>
              <w:right w:w="108" w:type="dxa"/>
              <w:bottom w:w="0" w:type="dxa"/>
            </w:tcMar>
            <w:tcW w:w="74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(二十五)1</w:t>
            </w:r>
            <w:r/>
          </w:p>
        </w:tc>
        <w:tc>
          <w:tcPr>
            <w:tcMar>
              <w:left w:w="108" w:type="dxa"/>
              <w:top w:w="0" w:type="dxa"/>
              <w:right w:w="108" w:type="dxa"/>
              <w:bottom w:w="0" w:type="dxa"/>
            </w:tcMar>
            <w:tcW w:w="4256" w:type="pct"/>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招标文件规定的需要宣布的内容：宣读投标人名称、投标价格。</w:t>
            </w:r>
            <w:r/>
          </w:p>
        </w:tc>
      </w:tr>
      <w:tr>
        <w:trPr>
          <w:jc w:val="center"/>
        </w:trPr>
        <w:tc>
          <w:tcPr>
            <w:tcMar>
              <w:left w:w="108" w:type="dxa"/>
              <w:top w:w="0" w:type="dxa"/>
              <w:right w:w="108" w:type="dxa"/>
              <w:bottom w:w="0" w:type="dxa"/>
            </w:tcMar>
            <w:tcW w:w="74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五</w:t>
            </w:r>
            <w:r/>
          </w:p>
        </w:tc>
        <w:tc>
          <w:tcPr>
            <w:tcMar>
              <w:left w:w="108" w:type="dxa"/>
              <w:top w:w="0" w:type="dxa"/>
              <w:right w:w="108" w:type="dxa"/>
              <w:bottom w:w="0" w:type="dxa"/>
            </w:tcMar>
            <w:tcW w:w="4256" w:type="pct"/>
            <w:vAlign w:val="center"/>
            <w:textDirection w:val="lrTb"/>
            <w:noWrap w:val="false"/>
          </w:tcPr>
          <w:p>
            <w:pPr>
              <w:jc w:val="both"/>
              <w:keepLines w:val="0"/>
              <w:keepNext w:val="0"/>
              <w:pageBreakBefore w:val="0"/>
              <w:spacing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评标</w:t>
            </w:r>
            <w:r/>
          </w:p>
        </w:tc>
      </w:tr>
      <w:tr>
        <w:trPr>
          <w:jc w:val="center"/>
          <w:trHeight w:val="339"/>
        </w:trPr>
        <w:tc>
          <w:tcPr>
            <w:tcMar>
              <w:left w:w="108" w:type="dxa"/>
              <w:top w:w="0" w:type="dxa"/>
              <w:right w:w="108" w:type="dxa"/>
              <w:bottom w:w="0" w:type="dxa"/>
            </w:tcMar>
            <w:tcW w:w="74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(二十七)</w:t>
            </w:r>
            <w:r/>
          </w:p>
        </w:tc>
        <w:tc>
          <w:tcPr>
            <w:tcMar>
              <w:left w:w="108" w:type="dxa"/>
              <w:top w:w="0" w:type="dxa"/>
              <w:right w:w="108" w:type="dxa"/>
              <w:bottom w:w="0" w:type="dxa"/>
            </w:tcMar>
            <w:tcW w:w="4256" w:type="pct"/>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采用综合评分法。</w:t>
            </w:r>
            <w:r/>
          </w:p>
        </w:tc>
      </w:tr>
      <w:tr>
        <w:trPr>
          <w:jc w:val="center"/>
          <w:trHeight w:val="334"/>
        </w:trPr>
        <w:tc>
          <w:tcPr>
            <w:tcMar>
              <w:left w:w="108" w:type="dxa"/>
              <w:top w:w="0" w:type="dxa"/>
              <w:right w:w="108" w:type="dxa"/>
              <w:bottom w:w="0" w:type="dxa"/>
            </w:tcMar>
            <w:tcW w:w="74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(二十八)</w:t>
            </w:r>
            <w:r/>
          </w:p>
        </w:tc>
        <w:tc>
          <w:tcPr>
            <w:tcMar>
              <w:left w:w="108" w:type="dxa"/>
              <w:top w:w="0" w:type="dxa"/>
              <w:right w:w="108" w:type="dxa"/>
              <w:bottom w:w="0" w:type="dxa"/>
            </w:tcMar>
            <w:tcW w:w="4256" w:type="pct"/>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一、推荐中标候选供应商名单。中标候选供应商数量应当根据采购需要确定，但必须按顺序排列中标候选供应商。</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二、采用综合评分法的，按评审后得分由高到低顺序排列。得分相同的，按投标报价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优惠率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由高到低顺序排列。得分且投标报价（优惠率）相同的，按食材质量保证措施得分顺序排列。</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三、采购人应当自收到评标报告之日起5个工作日内，在评标报告确定的中标候选人名单中按得分最高顺序确定一名中标人。</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w:t>
            </w:r>
            <w:r>
              <w:rPr>
                <w:rFonts w:hint="eastAsia" w:ascii="宋体" w:hAnsi="宋体" w:eastAsia="宋体" w:cs="宋体"/>
                <w:color w:val="auto"/>
                <w:sz w:val="24"/>
                <w:szCs w:val="24"/>
                <w:highlight w:val="none"/>
              </w:rPr>
              <w:t xml:space="preserve">、本项目共分为</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个采购包。每个投标人可以同时参加本项目</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个采购包的投标与评审，但每个投标人最多允许中</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个采购包。若投标人已在前序采购包中</w:t>
            </w:r>
            <w:r>
              <w:rPr>
                <w:rFonts w:hint="eastAsia" w:ascii="宋体" w:hAnsi="宋体" w:cs="宋体"/>
                <w:color w:val="auto"/>
                <w:sz w:val="24"/>
                <w:szCs w:val="24"/>
                <w:highlight w:val="none"/>
                <w:lang w:val="en-US" w:eastAsia="zh-CN"/>
              </w:rPr>
              <w:t xml:space="preserve">推荐为第一中标候选人的</w:t>
            </w:r>
            <w:r>
              <w:rPr>
                <w:rFonts w:hint="eastAsia" w:ascii="宋体" w:hAnsi="宋体" w:eastAsia="宋体" w:cs="宋体"/>
                <w:color w:val="auto"/>
                <w:sz w:val="24"/>
                <w:szCs w:val="24"/>
                <w:highlight w:val="none"/>
              </w:rPr>
              <w:t xml:space="preserve">，可继续参与后续采购包的评审，但不得再次中标，且不再推荐为后续采购包的中标候选人。各采购包中标候选人数量不得低于3个，否则该采购包按废标处理。</w:t>
            </w:r>
            <w:r/>
          </w:p>
        </w:tc>
      </w:tr>
      <w:tr>
        <w:trPr>
          <w:jc w:val="center"/>
          <w:trHeight w:val="3793"/>
        </w:trPr>
        <w:tc>
          <w:tcPr>
            <w:tcMar>
              <w:left w:w="108" w:type="dxa"/>
              <w:top w:w="0" w:type="dxa"/>
              <w:right w:w="108" w:type="dxa"/>
              <w:bottom w:w="0" w:type="dxa"/>
            </w:tcMar>
            <w:tcW w:w="74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二十九</w:t>
            </w:r>
            <w:r/>
          </w:p>
        </w:tc>
        <w:tc>
          <w:tcPr>
            <w:tcMar>
              <w:left w:w="108" w:type="dxa"/>
              <w:top w:w="0" w:type="dxa"/>
              <w:right w:w="108" w:type="dxa"/>
              <w:bottom w:w="0" w:type="dxa"/>
            </w:tcMar>
            <w:tcW w:w="4256" w:type="pct"/>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1、评标中需要投标人对投标文件澄清或者说明的，应当通过“苏采云”系统交换数据电文。在评标期间，请投标人保持在线。</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90"/>
        </w:trPr>
        <w:tc>
          <w:tcPr>
            <w:tcMar>
              <w:left w:w="108" w:type="dxa"/>
              <w:top w:w="0" w:type="dxa"/>
              <w:right w:w="108" w:type="dxa"/>
              <w:bottom w:w="0" w:type="dxa"/>
            </w:tcMar>
            <w:tcW w:w="74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七</w:t>
            </w:r>
            <w:r/>
          </w:p>
        </w:tc>
        <w:tc>
          <w:tcPr>
            <w:tcMar>
              <w:left w:w="108" w:type="dxa"/>
              <w:top w:w="0" w:type="dxa"/>
              <w:right w:w="108" w:type="dxa"/>
              <w:bottom w:w="0" w:type="dxa"/>
            </w:tcMar>
            <w:tcW w:w="4256" w:type="pct"/>
            <w:vAlign w:val="center"/>
            <w:textDirection w:val="lrTb"/>
            <w:noWrap w:val="false"/>
          </w:tcPr>
          <w:p>
            <w:pPr>
              <w:jc w:val="both"/>
              <w:keepLines w:val="0"/>
              <w:keepNext w:val="0"/>
              <w:pageBreakBefore w:val="0"/>
              <w:spacing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政府采购合同。</w:t>
            </w:r>
            <w:r/>
          </w:p>
        </w:tc>
      </w:tr>
      <w:tr>
        <w:trPr>
          <w:jc w:val="center"/>
          <w:trHeight w:val="90"/>
        </w:trPr>
        <w:tc>
          <w:tcPr>
            <w:tcMar>
              <w:left w:w="108" w:type="dxa"/>
              <w:top w:w="0" w:type="dxa"/>
              <w:right w:w="108" w:type="dxa"/>
              <w:bottom w:w="0" w:type="dxa"/>
            </w:tcMar>
            <w:tcW w:w="74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(三十六)</w:t>
            </w:r>
            <w:r/>
          </w:p>
        </w:tc>
        <w:tc>
          <w:tcPr>
            <w:tcMar>
              <w:left w:w="108" w:type="dxa"/>
              <w:top w:w="0" w:type="dxa"/>
              <w:right w:w="108" w:type="dxa"/>
              <w:bottom w:w="0" w:type="dxa"/>
            </w:tcMar>
            <w:tcW w:w="4256" w:type="pct"/>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采购人与中标、中标人应当在中标、成交通知书发出之日起30日内，按照采购文件确定的事项签订政府采购合同。</w:t>
            </w:r>
            <w:r/>
          </w:p>
        </w:tc>
      </w:tr>
      <w:tr>
        <w:trPr>
          <w:jc w:val="center"/>
        </w:trPr>
        <w:tc>
          <w:tcPr>
            <w:tcMar>
              <w:left w:w="108" w:type="dxa"/>
              <w:top w:w="0" w:type="dxa"/>
              <w:right w:w="108" w:type="dxa"/>
              <w:bottom w:w="0" w:type="dxa"/>
            </w:tcMar>
            <w:tcW w:w="74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（三十八）</w:t>
            </w:r>
            <w:r/>
          </w:p>
        </w:tc>
        <w:tc>
          <w:tcPr>
            <w:tcMar>
              <w:left w:w="108" w:type="dxa"/>
              <w:top w:w="0" w:type="dxa"/>
              <w:right w:w="108" w:type="dxa"/>
              <w:bottom w:w="0" w:type="dxa"/>
            </w:tcMar>
            <w:tcW w:w="4256" w:type="pct"/>
            <w:vAlign w:val="center"/>
            <w:textDirection w:val="lrTb"/>
            <w:noWrap w:val="false"/>
          </w:tcPr>
          <w:p>
            <w:pPr>
              <w:jc w:val="both"/>
              <w:keepLines w:val="0"/>
              <w:keepNext w:val="0"/>
              <w:pageBreakBefore w:val="0"/>
              <w:spacing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履约保证金：无。</w:t>
            </w:r>
            <w:r/>
          </w:p>
        </w:tc>
      </w:tr>
      <w:tr>
        <w:trPr>
          <w:jc w:val="center"/>
          <w:trHeight w:val="510"/>
        </w:trPr>
        <w:tc>
          <w:tcPr>
            <w:tcMar>
              <w:left w:w="108" w:type="dxa"/>
              <w:top w:w="0" w:type="dxa"/>
              <w:right w:w="108" w:type="dxa"/>
              <w:bottom w:w="0" w:type="dxa"/>
            </w:tcMar>
            <w:tcW w:w="74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(四十)</w:t>
            </w:r>
            <w:r/>
          </w:p>
        </w:tc>
        <w:tc>
          <w:tcPr>
            <w:tcMar>
              <w:left w:w="108" w:type="dxa"/>
              <w:top w:w="0" w:type="dxa"/>
              <w:right w:w="108" w:type="dxa"/>
              <w:bottom w:w="0" w:type="dxa"/>
            </w:tcMar>
            <w:tcW w:w="4256" w:type="pct"/>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质疑接收人：孙逊      联系电话：0516-83999055</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地址：江苏省徐州市泉山区金山东路北侧徐州软件园C-11号楼1011室</w:t>
            </w:r>
            <w:r/>
          </w:p>
        </w:tc>
      </w:tr>
      <w:tr>
        <w:trPr>
          <w:jc w:val="center"/>
        </w:trPr>
        <w:tc>
          <w:tcPr>
            <w:tcMar>
              <w:left w:w="108" w:type="dxa"/>
              <w:top w:w="0" w:type="dxa"/>
              <w:right w:w="108" w:type="dxa"/>
              <w:bottom w:w="0" w:type="dxa"/>
            </w:tcMar>
            <w:tcW w:w="743" w:type="pct"/>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附加说明</w:t>
            </w:r>
            <w:r/>
          </w:p>
        </w:tc>
        <w:tc>
          <w:tcPr>
            <w:tcMar>
              <w:left w:w="108" w:type="dxa"/>
              <w:top w:w="0" w:type="dxa"/>
              <w:right w:w="108" w:type="dxa"/>
              <w:bottom w:w="0" w:type="dxa"/>
            </w:tcMar>
            <w:tcW w:w="4256" w:type="pct"/>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中标人在收到中标通知书时，须向采购人和采购代理机构提交《开标一览表》和《分项价格表》的数据文件（WORD格式）。</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邮箱：jocxz03@jocite.com</w:t>
            </w:r>
            <w:r/>
          </w:p>
        </w:tc>
      </w:tr>
      <w:tr>
        <w:trPr>
          <w:jc w:val="center"/>
        </w:trPr>
        <w:tc>
          <w:tcPr>
            <w:tcMar>
              <w:left w:w="108" w:type="dxa"/>
              <w:top w:w="0" w:type="dxa"/>
              <w:right w:w="108" w:type="dxa"/>
              <w:bottom w:w="0" w:type="dxa"/>
            </w:tcMar>
            <w:tcW w:w="743" w:type="pct"/>
            <w:vAlign w:val="center"/>
            <w:vMerge w:val="continue"/>
            <w:textDirection w:val="lrTb"/>
            <w:noWrap w:val="false"/>
          </w:tcPr>
          <w:p>
            <w:pPr>
              <w:jc w:val="both"/>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4256" w:type="pct"/>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1、评标中需要投标人对投标文件澄清或者说明的，应当通过“苏采云”系统交换数据电文。在评标期间，请投标人保持在线。</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Pr>
        <w:tc>
          <w:tcPr>
            <w:tcMar>
              <w:left w:w="108" w:type="dxa"/>
              <w:top w:w="0" w:type="dxa"/>
              <w:right w:w="108" w:type="dxa"/>
              <w:bottom w:w="0" w:type="dxa"/>
            </w:tcMar>
            <w:tcW w:w="743" w:type="pct"/>
            <w:vAlign w:val="center"/>
            <w:vMerge w:val="continue"/>
            <w:textDirection w:val="lrTb"/>
            <w:noWrap w:val="false"/>
          </w:tcPr>
          <w:p>
            <w:pPr>
              <w:jc w:val="both"/>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4256" w:type="pct"/>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特别提醒：</w:t>
            </w:r>
            <w:r>
              <w:rPr>
                <w:rFonts w:hint="eastAsia" w:ascii="宋体" w:hAnsi="宋体" w:eastAsia="宋体" w:cs="宋体"/>
                <w:color w:val="auto"/>
                <w:sz w:val="24"/>
                <w:szCs w:val="24"/>
                <w:highlight w:val="none"/>
              </w:rPr>
              <w:t xml:space="preserve">招标文件中如需“授权代表签字或盖章”，供应商可打印成文档。签字或盖章后再扫描上传，最后再电子签章。</w:t>
            </w:r>
            <w:r/>
          </w:p>
        </w:tc>
      </w:tr>
    </w:tbl>
    <w:p>
      <w:pPr>
        <w:ind w:firstLine="600"/>
        <w:spacing w:line="239" w:lineRule="atLeast"/>
        <w:rPr>
          <w:rFonts w:ascii="宋体" w:hAnsi="宋体" w:cs="宋体"/>
          <w:color w:val="auto"/>
          <w:sz w:val="1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ind w:firstLine="600"/>
        <w:spacing w:line="519"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ascii="宋体" w:hAnsi="宋体" w:cs="宋体"/>
          <w:color w:val="auto"/>
          <w:sz w:val="24"/>
          <w:highlight w:val="none"/>
        </w:rPr>
      </w:r>
      <w:r/>
    </w:p>
    <w:p>
      <w:pPr>
        <w:ind w:firstLine="600"/>
        <w:spacing w:line="360" w:lineRule="auto"/>
        <w:rPr>
          <w:rFonts w:ascii="宋体" w:hAnsi="宋体" w:cs="宋体"/>
          <w:color w:val="auto"/>
          <w:sz w:val="1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本章附件：</w:t>
      </w:r>
      <w:r>
        <w:rPr>
          <w:rFonts w:hint="eastAsia" w:ascii="宋体" w:hAnsi="宋体" w:cs="宋体"/>
          <w:b/>
          <w:color w:val="auto"/>
          <w:sz w:val="24"/>
          <w:highlight w:val="none"/>
        </w:rPr>
        <w:t xml:space="preserve">招标代理服务收费标准</w:t>
      </w:r>
      <w:r/>
    </w:p>
    <w:tbl>
      <w:tblPr>
        <w:tblStyle w:val="91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33"/>
        <w:gridCol w:w="3283"/>
      </w:tblGrid>
      <w:tr>
        <w:trPr>
          <w:trHeight w:val="5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费率</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5000元</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1.6%</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1.1%</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0.8%</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0.25%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0.05%</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0.01%</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0.005%</w:t>
            </w:r>
            <w:r/>
          </w:p>
        </w:tc>
      </w:tr>
    </w:tbl>
    <w:p>
      <w:pPr>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说明：</w:t>
      </w:r>
      <w:r/>
    </w:p>
    <w:p>
      <w:pPr>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1、按上表计算的收费为代理服务全过程的收费金额。各社会代理机构不再收取采购文件制作售卖费用。</w:t>
      </w:r>
      <w:r/>
    </w:p>
    <w:p>
      <w:pPr>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2、代理服务费按差额定率累进法计算。</w:t>
      </w:r>
      <w:r/>
    </w:p>
    <w:p>
      <w:pPr>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3、代理服务费基准金额（按差额定率累进法计算的）=中标金额（按差额定率累进法计算的）*费率（%）</w:t>
      </w:r>
      <w:r/>
    </w:p>
    <w:p>
      <w:pPr>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4、代理服务费应收取金额=代理服务费基准金额（按差额定率累进法计算的）的合计数。</w:t>
      </w:r>
      <w:r/>
    </w:p>
    <w:p>
      <w:pPr>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5、定点类等无金额或事先不能计算出价格总额的项目，按中标（成交）金额100万元计算。</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招标代理服务费以标段为单位进行结算。</w:t>
      </w:r>
      <w:r/>
    </w:p>
    <w:p>
      <w:pPr>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、上表为自行约定的代理服务费标准。</w:t>
      </w:r>
      <w:r/>
    </w:p>
    <w:p>
      <w:pPr>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lang w:val="en-US" w:eastAsia="zh-CN"/>
        </w:rPr>
        <w:t xml:space="preserve">8</w:t>
      </w:r>
      <w:r>
        <w:rPr>
          <w:rFonts w:hint="eastAsia" w:ascii="宋体" w:hAnsi="宋体" w:cs="宋体"/>
          <w:b/>
          <w:color w:val="auto"/>
          <w:sz w:val="24"/>
          <w:szCs w:val="24"/>
          <w:highlight w:val="none"/>
        </w:rPr>
        <w:t xml:space="preserve">、账户信息：</w:t>
      </w:r>
      <w:r/>
    </w:p>
    <w:p>
      <w:pPr>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账户名：江苏海外集团国际工程咨询有限公司徐州分公司</w:t>
      </w:r>
      <w:r/>
    </w:p>
    <w:p>
      <w:pPr>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开户银行：上海浦东发展银行股份有限公司徐州分行</w:t>
      </w:r>
      <w:r/>
    </w:p>
    <w:p>
      <w:pPr>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账号：11110154740005866</w:t>
      </w:r>
      <w:r/>
    </w:p>
    <w:p>
      <w:pPr>
        <w:numPr>
          <w:ilvl w:val="0"/>
          <w:numId w:val="0"/>
        </w:numPr>
        <w:jc w:val="center"/>
        <w:spacing w:line="360" w:lineRule="auto"/>
        <w:rPr>
          <w:rFonts w:ascii="宋体" w:hAnsi="宋体" w:cs="宋体"/>
          <w:b/>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0"/>
          <w:szCs w:val="30"/>
          <w:highlight w:val="none"/>
          <w:lang w:val="en-US" w:eastAsia="zh-CN"/>
        </w:rPr>
        <w:t xml:space="preserve">第四章 </w:t>
      </w:r>
      <w:r>
        <w:rPr>
          <w:rFonts w:hint="eastAsia" w:ascii="宋体" w:hAnsi="宋体" w:cs="宋体"/>
          <w:b/>
          <w:color w:val="auto"/>
          <w:sz w:val="30"/>
          <w:szCs w:val="30"/>
          <w:highlight w:val="none"/>
        </w:rPr>
        <w:t xml:space="preserve">评标标准</w:t>
      </w:r>
      <w:r/>
    </w:p>
    <w:tbl>
      <w:tblPr>
        <w:tblStyle w:val="906"/>
        <w:tblW w:w="544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877"/>
        <w:gridCol w:w="1177"/>
        <w:gridCol w:w="7001"/>
      </w:tblGrid>
      <w:tr>
        <w:trPr>
          <w:jc w:val="center"/>
          <w:trHeight w:val="527"/>
        </w:trPr>
        <w:tc>
          <w:tcPr>
            <w:gridSpan w:val="2"/>
            <w:tcW w:w="113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评审因素</w:t>
            </w:r>
            <w:r/>
          </w:p>
        </w:tc>
        <w:tc>
          <w:tcPr>
            <w:tcW w:w="3865"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评分依据</w:t>
            </w:r>
            <w:r/>
          </w:p>
        </w:tc>
      </w:tr>
      <w:tr>
        <w:trPr>
          <w:cantSplit/>
          <w:jc w:val="center"/>
          <w:trHeight w:val="983"/>
        </w:trPr>
        <w:tc>
          <w:tcPr>
            <w:gridSpan w:val="2"/>
            <w:tcW w:w="1134" w:type="pct"/>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价格部分</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w:t>
            </w:r>
            <w:r/>
          </w:p>
        </w:tc>
        <w:tc>
          <w:tcPr>
            <w:tcW w:w="3865" w:type="pct"/>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各投标人价格得分=(100%-投标人的最高优惠率)÷(100%-各投标人优惠率)×</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(按四舍五入取至小数点后两位)。</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注：如价格优惠率为</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0%,则所报折扣为</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折。</w:t>
            </w:r>
            <w:r/>
          </w:p>
        </w:tc>
      </w:tr>
      <w:tr>
        <w:trPr>
          <w:cantSplit/>
          <w:jc w:val="center"/>
          <w:trHeight w:val="2793"/>
        </w:trPr>
        <w:tc>
          <w:tcPr>
            <w:tcW w:w="484" w:type="pct"/>
            <w:vAlign w:val="center"/>
            <w:vMerge w:val="restar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技术方案（</w:t>
            </w:r>
            <w:r>
              <w:rPr>
                <w:rFonts w:hint="eastAsia" w:ascii="宋体" w:hAnsi="宋体" w:eastAsia="宋体" w:cs="宋体"/>
                <w:bCs/>
                <w:color w:val="auto"/>
                <w:sz w:val="24"/>
                <w:szCs w:val="24"/>
                <w:highlight w:val="none"/>
                <w:lang w:val="en-US" w:eastAsia="zh-CN"/>
              </w:rPr>
              <w:t xml:space="preserve">54</w:t>
            </w:r>
            <w:r>
              <w:rPr>
                <w:rFonts w:hint="eastAsia" w:ascii="宋体" w:hAnsi="宋体" w:eastAsia="宋体" w:cs="宋体"/>
                <w:bCs/>
                <w:color w:val="auto"/>
                <w:sz w:val="24"/>
                <w:szCs w:val="24"/>
                <w:highlight w:val="none"/>
              </w:rPr>
              <w:t xml:space="preserve">分）</w:t>
            </w:r>
            <w:r/>
          </w:p>
        </w:tc>
        <w:tc>
          <w:tcPr>
            <w:tcW w:w="650"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食材供应及配送方案（</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tc>
        <w:tc>
          <w:tcPr>
            <w:tcW w:w="3865" w:type="pct"/>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对方案内容全面性、可行性、针对性进行评价，方案</w:t>
            </w:r>
            <w:r>
              <w:rPr>
                <w:rFonts w:hint="eastAsia" w:ascii="宋体" w:hAnsi="宋体" w:eastAsia="宋体" w:cs="宋体"/>
                <w:color w:val="auto"/>
                <w:sz w:val="24"/>
                <w:szCs w:val="24"/>
                <w:highlight w:val="none"/>
                <w:lang w:eastAsia="zh-CN"/>
              </w:rPr>
              <w:t xml:space="preserve">内容</w:t>
            </w:r>
            <w:r>
              <w:rPr>
                <w:rFonts w:hint="eastAsia" w:ascii="宋体" w:hAnsi="宋体" w:eastAsia="宋体" w:cs="宋体"/>
                <w:color w:val="auto"/>
                <w:sz w:val="24"/>
                <w:szCs w:val="24"/>
                <w:highlight w:val="none"/>
              </w:rPr>
              <w:t xml:space="preserve">必须包含各类食材对应配送车辆的说明以及如何确保食材与配送车辆类型、季节相符，保证食材的新鲜和品质。</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方案可行性（</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分）：切实可行得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分；较切实可行得2分；可行性欠缺得1分。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方案针对性（</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分）：针对性强得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分；针对性较强得2分；针对性不强得1分。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未提供的得0分，本项最高得</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分，最低得0分。</w:t>
            </w:r>
            <w:r/>
          </w:p>
        </w:tc>
      </w:tr>
      <w:tr>
        <w:trPr>
          <w:cantSplit/>
          <w:jc w:val="center"/>
          <w:trHeight w:val="2630"/>
        </w:trPr>
        <w:tc>
          <w:tcPr>
            <w:tcW w:w="484" w:type="pct"/>
            <w:vAlign w:val="center"/>
            <w:vMerge w:val="continue"/>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650"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食材质量保证措施（</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w:t>
            </w:r>
            <w:r/>
          </w:p>
        </w:tc>
        <w:tc>
          <w:tcPr>
            <w:tcW w:w="3865" w:type="pct"/>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对措施内</w:t>
            </w:r>
            <w:r>
              <w:rPr>
                <w:rFonts w:hint="eastAsia" w:ascii="宋体" w:hAnsi="宋体" w:eastAsia="宋体" w:cs="宋体"/>
                <w:color w:val="auto"/>
                <w:sz w:val="24"/>
                <w:szCs w:val="24"/>
                <w:highlight w:val="none"/>
                <w:lang w:eastAsia="zh-CN"/>
              </w:rPr>
              <w:t xml:space="preserve">容的</w:t>
            </w:r>
            <w:r>
              <w:rPr>
                <w:rFonts w:hint="eastAsia" w:ascii="宋体" w:hAnsi="宋体" w:eastAsia="宋体" w:cs="宋体"/>
                <w:color w:val="auto"/>
                <w:sz w:val="24"/>
                <w:szCs w:val="24"/>
                <w:highlight w:val="none"/>
              </w:rPr>
              <w:t xml:space="preserve">全面性、可行性、针对性进行评价。</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措施全面性（</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分）：全面具体详实得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分；较全面得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分；存在较大漏项或缺陷得1分。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措施可行性（</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分）：切实可行得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分；较切实可行得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分；可行性欠缺得1分。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措施针对性（</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分）：针对性强得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分；针对性较强得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分；针对性不强得1分。</w:t>
            </w:r>
            <w:r/>
          </w:p>
          <w:p>
            <w:pPr>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未提供的得0分，本项最高得</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分，最低得0分。</w:t>
            </w:r>
            <w:r/>
          </w:p>
        </w:tc>
      </w:tr>
      <w:tr>
        <w:trPr>
          <w:cantSplit/>
          <w:jc w:val="center"/>
          <w:trHeight w:val="2014"/>
        </w:trPr>
        <w:tc>
          <w:tcPr>
            <w:tcW w:w="484" w:type="pct"/>
            <w:vAlign w:val="center"/>
            <w:vMerge w:val="continue"/>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50"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配合与服从采购人管理方案（</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w:t>
            </w:r>
            <w:r/>
          </w:p>
        </w:tc>
        <w:tc>
          <w:tcPr>
            <w:tcW w:w="3865" w:type="pct"/>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对方案内</w:t>
            </w:r>
            <w:r>
              <w:rPr>
                <w:rFonts w:hint="eastAsia" w:ascii="宋体" w:hAnsi="宋体" w:eastAsia="宋体" w:cs="宋体"/>
                <w:color w:val="auto"/>
                <w:sz w:val="24"/>
                <w:szCs w:val="24"/>
                <w:highlight w:val="none"/>
                <w:lang w:eastAsia="zh-CN"/>
              </w:rPr>
              <w:t xml:space="preserve">容的</w:t>
            </w:r>
            <w:r>
              <w:rPr>
                <w:rFonts w:hint="eastAsia" w:ascii="宋体" w:hAnsi="宋体" w:eastAsia="宋体" w:cs="宋体"/>
                <w:color w:val="auto"/>
                <w:sz w:val="24"/>
                <w:szCs w:val="24"/>
                <w:highlight w:val="none"/>
              </w:rPr>
              <w:t xml:space="preserve">可行性、针对性进行评价。</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全面性（</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分）：全面具体详实得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分；较全面得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分；存在较大漏项或缺陷得1分。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可行性（</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分）：切实可行得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分；较切实可行得2分；可行性欠缺得1分。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针对性（</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分）：针对性强得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分；针对性较强得2分；针对性不强得1分。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未提供的得0分，本项最高得</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分，最低得0分。</w:t>
            </w:r>
            <w:r/>
          </w:p>
        </w:tc>
      </w:tr>
      <w:tr>
        <w:trPr>
          <w:cantSplit/>
          <w:jc w:val="center"/>
          <w:trHeight w:val="90"/>
        </w:trPr>
        <w:tc>
          <w:tcPr>
            <w:tcW w:w="484" w:type="pct"/>
            <w:vAlign w:val="center"/>
            <w:vMerge w:val="continue"/>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50"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处理突发食品安全事件的应急预案（</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tc>
        <w:tc>
          <w:tcPr>
            <w:tcW w:w="3865" w:type="pct"/>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对方案内</w:t>
            </w:r>
            <w:r>
              <w:rPr>
                <w:rFonts w:hint="eastAsia" w:ascii="宋体" w:hAnsi="宋体" w:eastAsia="宋体" w:cs="宋体"/>
                <w:color w:val="auto"/>
                <w:sz w:val="24"/>
                <w:szCs w:val="24"/>
                <w:highlight w:val="none"/>
                <w:lang w:eastAsia="zh-CN"/>
              </w:rPr>
              <w:t xml:space="preserve">容的</w:t>
            </w:r>
            <w:r>
              <w:rPr>
                <w:rFonts w:hint="eastAsia" w:ascii="宋体" w:hAnsi="宋体" w:eastAsia="宋体" w:cs="宋体"/>
                <w:color w:val="auto"/>
                <w:sz w:val="24"/>
                <w:szCs w:val="24"/>
                <w:highlight w:val="none"/>
              </w:rPr>
              <w:t xml:space="preserve">全面性、可行性、针对性进行评价。</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措施全面性（4分）：全面具体详实得4分；较全面得2分；存在较大漏项或缺陷得1分。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措施可行性（</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分）：切实可行得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分；较切实可行得2分；可行性欠缺得1分。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措施针对性（</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分）：针对性强得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分；针对性较强得2分；针对性不强得1分。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未提供的得0分，本项最高得1</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分，最低得0分。</w:t>
            </w:r>
            <w:r/>
          </w:p>
        </w:tc>
      </w:tr>
      <w:tr>
        <w:trPr>
          <w:cantSplit/>
          <w:jc w:val="center"/>
          <w:trHeight w:val="1623"/>
        </w:trPr>
        <w:tc>
          <w:tcPr>
            <w:tcW w:w="484" w:type="pct"/>
            <w:vAlign w:val="center"/>
            <w:vMerge w:val="continue"/>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50"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退换货承诺方案（</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tc>
        <w:tc>
          <w:tcPr>
            <w:tcW w:w="3865" w:type="pct"/>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对方案内</w:t>
            </w:r>
            <w:r>
              <w:rPr>
                <w:rFonts w:hint="eastAsia" w:ascii="宋体" w:hAnsi="宋体" w:eastAsia="宋体" w:cs="宋体"/>
                <w:color w:val="auto"/>
                <w:sz w:val="24"/>
                <w:szCs w:val="24"/>
                <w:highlight w:val="none"/>
                <w:lang w:eastAsia="zh-CN"/>
              </w:rPr>
              <w:t xml:space="preserve">容的</w:t>
            </w:r>
            <w:r>
              <w:rPr>
                <w:rFonts w:hint="eastAsia" w:ascii="宋体" w:hAnsi="宋体" w:eastAsia="宋体" w:cs="宋体"/>
                <w:color w:val="auto"/>
                <w:sz w:val="24"/>
                <w:szCs w:val="24"/>
                <w:highlight w:val="none"/>
              </w:rPr>
              <w:t xml:space="preserve">全面性、可行性、针对性进行评价。</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措施全面性（</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分）：全面具体详实得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分；较全面得</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分；存在较大漏项或缺陷得</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措施可行性（</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分）：切实可行得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分；较切实可行得</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分；可行性欠缺得</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措施针对性（</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分）：针对性强得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分；针对性较强得</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分；针对性不强得</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未提供的得0分，本项最高得</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分，最低得0分。</w:t>
            </w:r>
            <w:r/>
          </w:p>
        </w:tc>
      </w:tr>
      <w:tr>
        <w:trPr>
          <w:cantSplit/>
          <w:jc w:val="center"/>
          <w:trHeight w:val="1943"/>
        </w:trPr>
        <w:tc>
          <w:tcPr>
            <w:tcW w:w="484" w:type="pct"/>
            <w:vAlign w:val="center"/>
            <w:vMerge w:val="restar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商务部分（1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tc>
        <w:tc>
          <w:tcPr>
            <w:tcW w:w="650"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人员配备方案(</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tcW w:w="3865" w:type="pct"/>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对方案内容的可行性、针对性进行评价。</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方案可行性（</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分）：切实可行得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分；较切实可行得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分；可行性欠缺得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方案针对性（2分）：针对性强得2分；针对性较强得1分；针对性不强得0.5分。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未提供的得0分，本项最高得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分，最低得0分。</w:t>
            </w:r>
            <w:r/>
          </w:p>
        </w:tc>
      </w:tr>
      <w:tr>
        <w:trPr>
          <w:cantSplit/>
          <w:jc w:val="center"/>
          <w:trHeight w:val="1921"/>
        </w:trPr>
        <w:tc>
          <w:tcPr>
            <w:tcW w:w="484" w:type="pct"/>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50"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车辆配备方案（</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tcW w:w="3865" w:type="pct"/>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对方案内容的可行性、针对性进行评价。</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方案可行性（</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分）：切实可行得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分；较切实可行得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分；可行性欠缺得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方案针对性（2分）：针对性强得2分；针对性较强得1分；针对性不强得0.5分。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未提供的得0分，本项最高得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分，最低得0分。</w:t>
            </w:r>
            <w:r/>
          </w:p>
        </w:tc>
      </w:tr>
      <w:tr>
        <w:trPr>
          <w:cantSplit/>
          <w:jc w:val="center"/>
          <w:trHeight w:val="2253"/>
        </w:trPr>
        <w:tc>
          <w:tcPr>
            <w:tcW w:w="484" w:type="pct"/>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50"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投标人业绩（4</w:t>
            </w:r>
            <w:bookmarkStart w:id="3" w:name="_GoBack"/>
            <w:r/>
            <w:bookmarkEnd w:id="3"/>
            <w:r>
              <w:rPr>
                <w:rFonts w:hint="eastAsia" w:ascii="宋体" w:hAnsi="宋体" w:eastAsia="宋体" w:cs="宋体"/>
                <w:color w:val="auto"/>
                <w:sz w:val="24"/>
                <w:szCs w:val="24"/>
                <w:highlight w:val="none"/>
              </w:rPr>
              <w:t xml:space="preserve">分）</w:t>
            </w:r>
            <w:r/>
          </w:p>
        </w:tc>
        <w:tc>
          <w:tcPr>
            <w:tcW w:w="3865" w:type="pct"/>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投标文件中提供投标人自2022年</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月1日以来（时间以合同签订时间为准），合同内容为与本次采购项目同类或相似的合同，每项得2分，最高得4分。</w:t>
            </w:r>
            <w:r/>
          </w:p>
          <w:p>
            <w:pP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注：投标文件中同时提供中标（成交）通知书原件扫描件、合同原件扫描件、发票（或对应银行收款进账凭证）原件扫描件并加盖电子签章，业绩合同中主要内容、总金额等清晰可见，缺一或提供内容模糊不清的不得分。</w:t>
            </w:r>
            <w:r/>
          </w:p>
        </w:tc>
      </w:tr>
      <w:tr>
        <w:trPr>
          <w:cantSplit/>
          <w:jc w:val="center"/>
          <w:trHeight w:val="1700"/>
        </w:trPr>
        <w:tc>
          <w:tcPr>
            <w:tcW w:w="484" w:type="pct"/>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50"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投标人评价（</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tc>
        <w:tc>
          <w:tcPr>
            <w:tcW w:w="3865" w:type="pct"/>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投标文件中提供投标人有效的质量管理体系认证证书原件扫描件及国家市场监督管理总局全国认证认可信息公共服务平台(网址: http://cx.cnca.cn/CertECloud/result/skipResultList)查询证书状态为有效的截图证明材料的，得2分，不提供或提供不全的不得分。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本项最高得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分，最低得0分。</w:t>
            </w:r>
            <w:r/>
          </w:p>
        </w:tc>
      </w:tr>
    </w:tbl>
    <w:p>
      <w:pPr>
        <w:spacing w:line="519"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本章说明：本项目采用综合评分法。</w:t>
      </w:r>
      <w:r/>
    </w:p>
    <w:p>
      <w:pPr>
        <w:rPr>
          <w:rFonts w:ascii="宋体" w:hAnsi="宋体" w:cs="宋体"/>
          <w:b/>
          <w:bCs/>
          <w:color w:val="auto"/>
          <w:sz w:val="24"/>
          <w:szCs w:val="24"/>
          <w:highlight w:val="none"/>
        </w:rPr>
        <w:sectPr>
          <w:footnotePr/>
          <w:endnotePr/>
          <w:type w:val="nextPage"/>
          <w:pgSz w:w="11906" w:h="16838" w:orient="portrait"/>
          <w:pgMar w:top="1440" w:right="1803" w:bottom="1440" w:left="1803" w:header="851" w:footer="992" w:gutter="0"/>
          <w:cols w:num="1" w:sep="0" w:space="1701" w:equalWidth="1"/>
          <w:docGrid w:linePitch="360"/>
        </w:sectPr>
      </w:pPr>
      <w:r>
        <w:rPr>
          <w:rFonts w:ascii="宋体" w:hAnsi="宋体" w:cs="宋体"/>
          <w:b/>
          <w:bCs/>
          <w:color w:val="auto"/>
          <w:sz w:val="24"/>
          <w:szCs w:val="24"/>
          <w:highlight w:val="none"/>
        </w:rPr>
      </w:r>
      <w:r/>
    </w:p>
    <w:p>
      <w:pPr>
        <w:jc w:val="center"/>
        <w:spacing w:line="360" w:lineRule="auto"/>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第五章 拟签订的合同文本</w:t>
      </w:r>
      <w:r/>
    </w:p>
    <w:p>
      <w:pPr>
        <w:rPr>
          <w:rFonts w:ascii="宋体" w:hAnsi="宋体" w:cs="宋体"/>
          <w:b/>
          <w:color w:val="auto"/>
          <w:highlight w:val="none"/>
        </w:rPr>
      </w:pPr>
      <w:r>
        <w:rPr>
          <w:rFonts w:ascii="宋体" w:hAnsi="宋体" w:cs="宋体"/>
          <w:b/>
          <w:color w:val="auto"/>
          <w:highlight w:val="none"/>
        </w:rPr>
      </w:r>
      <w:r/>
    </w:p>
    <w:p>
      <w:pPr>
        <w:spacing w:line="360" w:lineRule="auto"/>
        <w:rPr>
          <w:rFonts w:ascii="宋体" w:hAnsi="宋体" w:cs="宋体"/>
          <w:b/>
          <w:color w:val="auto"/>
          <w:sz w:val="32"/>
          <w:szCs w:val="32"/>
          <w:highlight w:val="none"/>
        </w:rPr>
      </w:pPr>
      <w:r/>
      <w:bookmarkStart w:id="0" w:name="_Hlk157001934"/>
      <w:r/>
      <w:r/>
    </w:p>
    <w:p>
      <w:pPr>
        <w:jc w:val="center"/>
        <w:rPr>
          <w:rFonts w:ascii="宋体" w:hAnsi="宋体" w:cs="宋体"/>
          <w:b/>
          <w:color w:val="auto"/>
          <w:sz w:val="72"/>
          <w:szCs w:val="72"/>
          <w:highlight w:val="none"/>
        </w:rPr>
      </w:pPr>
      <w:r>
        <w:rPr>
          <w:rFonts w:hint="eastAsia" w:ascii="宋体" w:hAnsi="宋体" w:cs="宋体"/>
          <w:b/>
          <w:color w:val="auto"/>
          <w:sz w:val="72"/>
          <w:szCs w:val="72"/>
          <w:highlight w:val="none"/>
        </w:rPr>
        <w:t xml:space="preserve">政 府 采 购 合 同</w:t>
      </w:r>
      <w:r/>
    </w:p>
    <w:p>
      <w:pPr>
        <w:jc w:val="left"/>
        <w:rPr>
          <w:rFonts w:ascii="宋体" w:hAnsi="宋体" w:cs="宋体"/>
          <w:b/>
          <w:color w:val="auto"/>
          <w:sz w:val="28"/>
          <w:szCs w:val="28"/>
          <w:highlight w:val="none"/>
        </w:rPr>
      </w:pPr>
      <w:r>
        <w:rPr>
          <w:rFonts w:ascii="宋体" w:hAnsi="宋体" w:cs="宋体"/>
          <w:b/>
          <w:color w:val="auto"/>
          <w:sz w:val="28"/>
          <w:szCs w:val="28"/>
          <w:highlight w:val="none"/>
        </w:rPr>
      </w:r>
      <w:r/>
    </w:p>
    <w:p>
      <w:pPr>
        <w:jc w:val="left"/>
        <w:rPr>
          <w:rFonts w:ascii="宋体" w:hAnsi="宋体" w:cs="宋体"/>
          <w:b/>
          <w:color w:val="auto"/>
          <w:sz w:val="28"/>
          <w:szCs w:val="28"/>
          <w:highlight w:val="none"/>
        </w:rPr>
      </w:pPr>
      <w:r>
        <w:rPr>
          <w:rFonts w:ascii="宋体" w:hAnsi="宋体" w:cs="宋体"/>
          <w:b/>
          <w:color w:val="auto"/>
          <w:sz w:val="28"/>
          <w:szCs w:val="28"/>
          <w:highlight w:val="none"/>
        </w:rPr>
      </w:r>
      <w:r/>
    </w:p>
    <w:p>
      <w:pPr>
        <w:jc w:val="left"/>
        <w:rPr>
          <w:rFonts w:ascii="宋体" w:hAnsi="宋体" w:cs="宋体"/>
          <w:b/>
          <w:color w:val="auto"/>
          <w:sz w:val="28"/>
          <w:szCs w:val="28"/>
          <w:highlight w:val="none"/>
        </w:rPr>
      </w:pPr>
      <w:r>
        <w:rPr>
          <w:rFonts w:ascii="宋体" w:hAnsi="宋体" w:cs="宋体"/>
          <w:b/>
          <w:color w:val="auto"/>
          <w:sz w:val="28"/>
          <w:szCs w:val="28"/>
          <w:highlight w:val="none"/>
        </w:rPr>
      </w:r>
      <w:r/>
    </w:p>
    <w:p>
      <w:pPr>
        <w:jc w:val="left"/>
        <w:spacing w:line="360" w:lineRule="auto"/>
        <w:rPr>
          <w:rFonts w:hint="eastAsia" w:ascii="宋体" w:hAnsi="宋体" w:eastAsia="宋体" w:cs="宋体"/>
          <w:b/>
          <w:color w:val="auto"/>
          <w:sz w:val="32"/>
          <w:szCs w:val="32"/>
          <w:highlight w:val="none"/>
          <w:lang w:eastAsia="zh-CN"/>
        </w:rPr>
      </w:pPr>
      <w:r>
        <w:rPr>
          <w:rFonts w:hint="eastAsia" w:ascii="宋体" w:hAnsi="宋体" w:cs="宋体"/>
          <w:b/>
          <w:color w:val="auto"/>
          <w:sz w:val="32"/>
          <w:szCs w:val="32"/>
          <w:highlight w:val="none"/>
        </w:rPr>
        <w:t xml:space="preserve">项目编号：JSZC-320300-HWZX-G2025-0995</w:t>
      </w:r>
      <w:r/>
    </w:p>
    <w:p>
      <w:pPr>
        <w:jc w:val="left"/>
        <w:spacing w:line="360" w:lineRule="auto"/>
        <w:rPr>
          <w:rFonts w:ascii="宋体" w:hAnsi="宋体" w:cs="宋体"/>
          <w:b/>
          <w:color w:val="auto"/>
          <w:sz w:val="32"/>
          <w:szCs w:val="32"/>
          <w:highlight w:val="none"/>
        </w:rPr>
      </w:pPr>
      <w:r>
        <w:rPr>
          <w:rFonts w:ascii="宋体" w:hAnsi="宋体" w:cs="宋体"/>
          <w:b/>
          <w:color w:val="auto"/>
          <w:sz w:val="32"/>
          <w:szCs w:val="32"/>
          <w:highlight w:val="none"/>
        </w:rPr>
      </w:r>
      <w:r/>
    </w:p>
    <w:p>
      <w:pPr>
        <w:jc w:val="left"/>
        <w:spacing w:line="360" w:lineRule="auto"/>
        <w:rPr>
          <w:rFonts w:hint="eastAsia" w:ascii="宋体" w:hAnsi="宋体" w:cs="宋体"/>
          <w:b/>
          <w:color w:val="auto"/>
          <w:sz w:val="32"/>
          <w:szCs w:val="32"/>
          <w:highlight w:val="none"/>
          <w:lang w:eastAsia="zh-CN"/>
        </w:rPr>
      </w:pPr>
      <w:r>
        <w:rPr>
          <w:rFonts w:hint="eastAsia" w:ascii="宋体" w:hAnsi="宋体" w:cs="宋体"/>
          <w:b/>
          <w:color w:val="auto"/>
          <w:sz w:val="32"/>
          <w:szCs w:val="32"/>
          <w:highlight w:val="none"/>
        </w:rPr>
        <w:t xml:space="preserve">项目名称：</w:t>
      </w:r>
      <w:r>
        <w:rPr>
          <w:rFonts w:hint="eastAsia" w:ascii="宋体" w:hAnsi="宋体" w:cs="宋体"/>
          <w:b/>
          <w:color w:val="auto"/>
          <w:sz w:val="32"/>
          <w:szCs w:val="32"/>
          <w:highlight w:val="none"/>
          <w:lang w:eastAsia="zh-CN"/>
        </w:rPr>
        <w:t xml:space="preserve">徐州市第一人民医院食堂原材料采购</w:t>
      </w:r>
      <w:r/>
    </w:p>
    <w:p>
      <w:pPr>
        <w:jc w:val="left"/>
        <w:spacing w:line="360" w:lineRule="auto"/>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jc w:val="left"/>
        <w:spacing w:line="360" w:lineRule="auto"/>
        <w:rPr>
          <w:rFonts w:hint="default" w:ascii="宋体" w:hAnsi="宋体" w:cs="宋体"/>
          <w:b/>
          <w:color w:val="auto"/>
          <w:sz w:val="32"/>
          <w:szCs w:val="32"/>
          <w:highlight w:val="none"/>
          <w:u w:val="single"/>
          <w:lang w:val="en-US" w:eastAsia="zh-CN"/>
        </w:rPr>
      </w:pPr>
      <w:r>
        <w:rPr>
          <w:rFonts w:hint="eastAsia" w:ascii="宋体" w:hAnsi="宋体" w:cs="宋体"/>
          <w:b/>
          <w:color w:val="auto"/>
          <w:sz w:val="32"/>
          <w:szCs w:val="32"/>
          <w:highlight w:val="none"/>
          <w:lang w:val="en-US" w:eastAsia="zh-CN"/>
        </w:rPr>
        <w:t xml:space="preserve">采 购 包：</w:t>
      </w:r>
      <w:r/>
    </w:p>
    <w:p>
      <w:pPr>
        <w:jc w:val="left"/>
        <w:spacing w:line="360" w:lineRule="auto"/>
        <w:rPr>
          <w:rFonts w:ascii="宋体" w:hAnsi="宋体" w:cs="宋体"/>
          <w:b/>
          <w:color w:val="auto"/>
          <w:sz w:val="32"/>
          <w:szCs w:val="32"/>
          <w:highlight w:val="none"/>
        </w:rPr>
      </w:pPr>
      <w:r>
        <w:rPr>
          <w:rFonts w:ascii="宋体" w:hAnsi="宋体" w:cs="宋体"/>
          <w:b/>
          <w:color w:val="auto"/>
          <w:sz w:val="32"/>
          <w:szCs w:val="32"/>
          <w:highlight w:val="none"/>
        </w:rPr>
      </w:r>
      <w:r/>
    </w:p>
    <w:p>
      <w:pPr>
        <w:jc w:val="left"/>
        <w:spacing w:line="360" w:lineRule="auto"/>
        <w:rPr>
          <w:rFonts w:hint="eastAsia" w:ascii="宋体" w:hAnsi="宋体" w:eastAsia="宋体" w:cs="宋体"/>
          <w:b/>
          <w:color w:val="auto"/>
          <w:sz w:val="32"/>
          <w:szCs w:val="32"/>
          <w:highlight w:val="none"/>
          <w:lang w:eastAsia="zh-CN"/>
        </w:rPr>
      </w:pPr>
      <w:r>
        <w:rPr>
          <w:rFonts w:hint="eastAsia" w:ascii="宋体" w:hAnsi="宋体" w:cs="宋体"/>
          <w:b/>
          <w:color w:val="auto"/>
          <w:sz w:val="32"/>
          <w:szCs w:val="32"/>
          <w:highlight w:val="none"/>
        </w:rPr>
        <w:t xml:space="preserve">采购单位（甲方）：徐州市第一人民医院</w:t>
      </w:r>
      <w:r/>
    </w:p>
    <w:p>
      <w:pPr>
        <w:jc w:val="left"/>
        <w:spacing w:line="360" w:lineRule="auto"/>
        <w:rPr>
          <w:rFonts w:ascii="宋体" w:hAnsi="宋体" w:cs="宋体"/>
          <w:b/>
          <w:color w:val="auto"/>
          <w:sz w:val="32"/>
          <w:szCs w:val="32"/>
          <w:highlight w:val="none"/>
        </w:rPr>
      </w:pPr>
      <w:r>
        <w:rPr>
          <w:rFonts w:ascii="宋体" w:hAnsi="宋体" w:cs="宋体"/>
          <w:b/>
          <w:color w:val="auto"/>
          <w:sz w:val="32"/>
          <w:szCs w:val="32"/>
          <w:highlight w:val="none"/>
        </w:rPr>
      </w:r>
      <w:r/>
    </w:p>
    <w:p>
      <w:pPr>
        <w:jc w:val="left"/>
        <w:spacing w:line="360" w:lineRule="auto"/>
        <w:rPr>
          <w:rFonts w:ascii="宋体" w:hAnsi="宋体" w:cs="宋体"/>
          <w:b/>
          <w:color w:val="auto"/>
          <w:sz w:val="32"/>
          <w:szCs w:val="32"/>
          <w:highlight w:val="none"/>
        </w:rPr>
      </w:pPr>
      <w:r>
        <w:rPr>
          <w:rFonts w:hint="eastAsia" w:ascii="宋体" w:hAnsi="宋体" w:cs="宋体"/>
          <w:b/>
          <w:color w:val="auto"/>
          <w:sz w:val="32"/>
          <w:szCs w:val="32"/>
          <w:highlight w:val="none"/>
        </w:rPr>
        <w:t xml:space="preserve">中标供应商（乙方）：</w:t>
      </w:r>
      <w:r/>
    </w:p>
    <w:p>
      <w:pPr>
        <w:jc w:val="left"/>
        <w:spacing w:line="360" w:lineRule="auto"/>
        <w:rPr>
          <w:rFonts w:ascii="宋体" w:hAnsi="宋体" w:cs="宋体"/>
          <w:b/>
          <w:color w:val="auto"/>
          <w:sz w:val="32"/>
          <w:szCs w:val="32"/>
          <w:highlight w:val="none"/>
        </w:rPr>
      </w:pPr>
      <w:r>
        <w:rPr>
          <w:rFonts w:ascii="宋体" w:hAnsi="宋体" w:cs="宋体"/>
          <w:b/>
          <w:color w:val="auto"/>
          <w:sz w:val="32"/>
          <w:szCs w:val="32"/>
          <w:highlight w:val="none"/>
        </w:rPr>
      </w:r>
      <w:r/>
    </w:p>
    <w:p>
      <w:pPr>
        <w:jc w:val="left"/>
        <w:spacing w:line="360" w:lineRule="auto"/>
        <w:rPr>
          <w:rFonts w:ascii="宋体" w:hAnsi="宋体" w:cs="宋体"/>
          <w:b/>
          <w:color w:val="auto"/>
          <w:sz w:val="32"/>
          <w:szCs w:val="32"/>
          <w:highlight w:val="none"/>
        </w:rPr>
      </w:pPr>
      <w:r>
        <w:rPr>
          <w:rFonts w:hint="eastAsia" w:ascii="宋体" w:hAnsi="宋体" w:cs="宋体"/>
          <w:b/>
          <w:color w:val="auto"/>
          <w:sz w:val="32"/>
          <w:szCs w:val="32"/>
          <w:highlight w:val="none"/>
        </w:rPr>
        <w:t xml:space="preserve">签订日期：    年  月  日</w:t>
      </w:r>
      <w:r/>
    </w:p>
    <w:p>
      <w:pPr>
        <w:rPr>
          <w:rFonts w:ascii="宋体" w:hAnsi="宋体" w:cs="宋体"/>
          <w:b/>
          <w:bCs/>
          <w:color w:val="auto"/>
          <w:sz w:val="28"/>
          <w:szCs w:val="28"/>
          <w:highlight w:val="none"/>
        </w:rPr>
      </w:pPr>
      <w:r>
        <w:rPr>
          <w:rFonts w:ascii="宋体" w:hAnsi="宋体" w:cs="宋体"/>
          <w:b/>
          <w:bCs/>
          <w:color w:val="auto"/>
          <w:sz w:val="28"/>
          <w:szCs w:val="28"/>
          <w:highlight w:val="none"/>
        </w:rPr>
      </w:r>
      <w:r/>
    </w:p>
    <w:p>
      <w:pPr>
        <w:pStyle w:val="911"/>
        <w:ind w:left="0" w:right="0"/>
        <w:spacing w:after="0"/>
        <w:rPr>
          <w:rFonts w:ascii="宋体" w:hAnsi="宋体" w:cs="宋体"/>
          <w:b/>
          <w:color w:val="auto"/>
          <w:sz w:val="28"/>
          <w:szCs w:val="28"/>
          <w:highlight w:val="none"/>
        </w:rPr>
      </w:pPr>
      <w:r>
        <w:rPr>
          <w:rFonts w:ascii="宋体" w:hAnsi="宋体" w:cs="宋体"/>
          <w:b/>
          <w:color w:val="auto"/>
          <w:sz w:val="28"/>
          <w:szCs w:val="28"/>
          <w:highlight w:val="none"/>
        </w:rPr>
      </w:r>
      <w:r/>
    </w:p>
    <w:p>
      <w:pPr>
        <w:pStyle w:val="911"/>
        <w:ind w:left="0" w:right="0"/>
        <w:spacing w:after="0"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pStyle w:val="911"/>
        <w:ind w:left="0" w:right="0"/>
        <w:spacing w:after="0" w:line="240" w:lineRule="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友情提醒：采购人与中标、成交供应商应当在中标、成交通知书发出之日起三十日内，按照采购文件确定的事项签订政府采购合同。</w:t>
      </w:r>
      <w:r/>
    </w:p>
    <w:p>
      <w:pPr>
        <w:pStyle w:val="911"/>
        <w:ind w:left="0" w:right="0"/>
        <w:spacing w:after="0" w:line="240" w:lineRule="auto"/>
        <w:rPr>
          <w:rFonts w:ascii="宋体" w:hAnsi="宋体" w:cs="宋体"/>
          <w:b w:val="0"/>
          <w:bCs w:val="0"/>
          <w:color w:val="auto"/>
          <w:sz w:val="24"/>
          <w:szCs w:val="24"/>
          <w:highlight w:val="none"/>
        </w:rPr>
        <w:sectPr>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cs="宋体"/>
          <w:b w:val="0"/>
          <w:bCs w:val="0"/>
          <w:color w:val="auto"/>
          <w:sz w:val="24"/>
          <w:szCs w:val="24"/>
          <w:highlight w:val="none"/>
        </w:rPr>
        <w:t xml:space="preserve">采购人应当自政府采购合同签订之日起2个工作日内，将政府采购合同在省级以上人民政府财政部门指定的媒体上公告，但政府采购合同中涉及国家秘密、商业秘密的内容除外。</w:t>
      </w:r>
      <w:bookmarkEnd w:id="0"/>
      <w:r/>
      <w:r/>
    </w:p>
    <w:p>
      <w:pPr>
        <w:jc w:val="center"/>
        <w:keepLines w:val="0"/>
        <w:keepNext w:val="0"/>
        <w:pageBreakBefore w:val="0"/>
        <w:spacing w:line="360" w:lineRule="auto"/>
        <w:widowControl w:val="off"/>
        <w:rPr>
          <w:rFonts w:hint="eastAsia" w:ascii="宋体" w:hAnsi="宋体" w:cs="宋体"/>
          <w:b/>
          <w:bCs/>
          <w:color w:val="auto"/>
          <w:sz w:val="36"/>
          <w:szCs w:val="36"/>
          <w:highlight w:val="none"/>
        </w:rPr>
      </w:pPr>
      <w:r>
        <w:rPr>
          <w:rFonts w:hint="eastAsia" w:ascii="宋体" w:hAnsi="宋体" w:cs="宋体"/>
          <w:b/>
          <w:bCs/>
          <w:color w:val="auto"/>
          <w:sz w:val="36"/>
          <w:szCs w:val="36"/>
          <w:highlight w:val="none"/>
          <w:lang w:val="en-US" w:eastAsia="zh-CN"/>
        </w:rPr>
        <w:t xml:space="preserve">徐州市第一人民医院食堂原材料采购</w:t>
      </w:r>
      <w:r>
        <w:rPr>
          <w:rFonts w:hint="eastAsia" w:ascii="宋体" w:hAnsi="宋体" w:cs="宋体"/>
          <w:b/>
          <w:bCs/>
          <w:color w:val="auto"/>
          <w:sz w:val="36"/>
          <w:szCs w:val="36"/>
          <w:highlight w:val="none"/>
        </w:rPr>
        <w:t xml:space="preserve">合同</w:t>
      </w:r>
      <w:r/>
    </w:p>
    <w:p>
      <w:pPr>
        <w:jc w:val="center"/>
        <w:keepLines w:val="0"/>
        <w:keepNext w:val="0"/>
        <w:pageBreakBefore w:val="0"/>
        <w:spacing w:line="360" w:lineRule="auto"/>
        <w:widowControl w:val="off"/>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t xml:space="preserve">（采购包1-4）</w:t>
      </w:r>
      <w:r/>
    </w:p>
    <w:p>
      <w:pPr>
        <w:pStyle w:val="946"/>
        <w:contextualSpacing/>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w:t>
      </w:r>
      <w:r>
        <w:rPr>
          <w:rFonts w:hint="eastAsia" w:ascii="宋体" w:hAnsi="宋体" w:eastAsia="宋体" w:cs="宋体"/>
          <w:color w:val="auto"/>
          <w:sz w:val="24"/>
          <w:szCs w:val="24"/>
          <w:highlight w:val="none"/>
          <w:u w:val="single"/>
        </w:rPr>
        <w:t xml:space="preserve">                    </w:t>
      </w:r>
      <w:r/>
    </w:p>
    <w:p>
      <w:pPr>
        <w:pStyle w:val="926"/>
        <w:contextualSpacing/>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pStyle w:val="926"/>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甲、乙双方根据《中华人民共和国政府采购法》、《中华人民共和国民法典》，按照</w:t>
      </w:r>
      <w:r>
        <w:rPr>
          <w:rFonts w:hint="eastAsia" w:ascii="宋体" w:hAnsi="宋体" w:eastAsia="宋体" w:cs="宋体"/>
          <w:color w:val="auto"/>
          <w:sz w:val="24"/>
          <w:szCs w:val="24"/>
          <w:highlight w:val="none"/>
          <w:u w:val="none"/>
          <w:lang w:eastAsia="zh-CN"/>
        </w:rPr>
        <w:t xml:space="preserve">徐州市第一人民医院</w:t>
      </w:r>
      <w:r>
        <w:rPr>
          <w:rFonts w:hint="eastAsia" w:ascii="宋体" w:hAnsi="宋体" w:cs="宋体"/>
          <w:color w:val="auto"/>
          <w:sz w:val="24"/>
          <w:szCs w:val="24"/>
          <w:highlight w:val="none"/>
          <w:u w:val="none"/>
          <w:lang w:eastAsia="zh-CN"/>
        </w:rPr>
        <w:t xml:space="preserve">食堂</w:t>
      </w:r>
      <w:r>
        <w:rPr>
          <w:rFonts w:hint="eastAsia" w:ascii="宋体" w:hAnsi="宋体" w:eastAsia="宋体" w:cs="宋体"/>
          <w:color w:val="auto"/>
          <w:sz w:val="24"/>
          <w:szCs w:val="24"/>
          <w:highlight w:val="none"/>
          <w:u w:val="none"/>
          <w:lang w:eastAsia="zh-CN"/>
        </w:rPr>
        <w:t xml:space="preserve">原材料采购</w:t>
      </w:r>
      <w:r>
        <w:rPr>
          <w:rFonts w:hint="eastAsia" w:ascii="宋体" w:hAnsi="宋体" w:eastAsia="宋体" w:cs="宋体"/>
          <w:color w:val="auto"/>
          <w:sz w:val="24"/>
          <w:szCs w:val="24"/>
          <w:highlight w:val="none"/>
        </w:rPr>
        <w:t xml:space="preserve">项目发出的中标通知书、招标文件及乙方的投标文件等，按照平等、自愿的原则，经友好协商，签订本合同。</w:t>
      </w:r>
      <w:r/>
    </w:p>
    <w:p>
      <w:pPr>
        <w:pStyle w:val="926"/>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一、供货范围和期限</w:t>
      </w:r>
      <w:r/>
    </w:p>
    <w:p>
      <w:pPr>
        <w:pStyle w:val="926"/>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（一）采购包</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，采购包名称：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926"/>
        <w:ind w:left="0" w:firstLine="480"/>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（二）供货时间：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日。履行期限自合同签订之日起</w:t>
      </w:r>
      <w:r>
        <w:rPr>
          <w:rFonts w:hint="eastAsia" w:ascii="宋体" w:hAnsi="宋体" w:eastAsia="宋体" w:cs="宋体"/>
          <w:color w:val="auto"/>
          <w:sz w:val="24"/>
          <w:szCs w:val="24"/>
          <w:highlight w:val="none"/>
          <w:lang w:val="en-US" w:eastAsia="zh-CN"/>
        </w:rPr>
        <w:t xml:space="preserve">1年服务期满</w:t>
      </w:r>
      <w:r>
        <w:rPr>
          <w:rFonts w:hint="eastAsia" w:ascii="宋体" w:hAnsi="宋体" w:cs="宋体"/>
          <w:color w:val="auto"/>
          <w:sz w:val="24"/>
          <w:szCs w:val="24"/>
          <w:highlight w:val="none"/>
          <w:lang w:val="en-US" w:eastAsia="zh-CN"/>
        </w:rPr>
        <w:t xml:space="preserve">。</w:t>
      </w:r>
      <w:r/>
    </w:p>
    <w:p>
      <w:pPr>
        <w:pStyle w:val="927"/>
        <w:ind w:left="0" w:firstLine="480"/>
        <w:keepLines w:val="0"/>
        <w:keepNext w:val="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（三）采购需求：详见合同附件1</w:t>
      </w:r>
      <w:r>
        <w:rPr>
          <w:rFonts w:hint="eastAsia" w:ascii="宋体" w:hAnsi="宋体" w:eastAsia="宋体" w:cs="宋体"/>
          <w:color w:val="auto"/>
          <w:sz w:val="24"/>
          <w:szCs w:val="24"/>
          <w:highlight w:val="none"/>
          <w:lang w:eastAsia="zh-CN"/>
        </w:rPr>
        <w:t xml:space="preserve">。</w:t>
      </w:r>
      <w:r/>
    </w:p>
    <w:p>
      <w:pPr>
        <w:pStyle w:val="926"/>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二、供应方式及要求</w:t>
      </w:r>
      <w:r/>
    </w:p>
    <w:p>
      <w:pPr>
        <w:pStyle w:val="926"/>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（一）确定订单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甲方食堂提前一天向乙方提供所需食品订单，乙方必须在甲方食堂规定时间内，依据订单将甲方食堂所需的食品购齐，送至甲方食堂指定地点进行验收。</w:t>
      </w:r>
      <w:r/>
    </w:p>
    <w:p>
      <w:pPr>
        <w:pStyle w:val="926"/>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（二）乙方不得以任何理由拒绝供应、随意变更订单项目、内容，由于特殊情况不能及时供应的食品，乙方应提前通知甲方食堂，经甲方食堂许可后方能调整所订食品。</w:t>
      </w:r>
      <w:r/>
    </w:p>
    <w:p>
      <w:pPr>
        <w:pStyle w:val="926"/>
        <w:ind w:left="0" w:firstLine="480"/>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（三）乙方应主动配合甲方食堂对其供应食品所进行的数量、质量检查。</w:t>
      </w:r>
      <w:r/>
    </w:p>
    <w:p>
      <w:pPr>
        <w:pStyle w:val="926"/>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三、供应价格及预算金额</w:t>
      </w:r>
      <w:r/>
    </w:p>
    <w:p>
      <w:pPr>
        <w:pStyle w:val="926"/>
        <w:ind w:left="0"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（一）供应价格</w:t>
      </w:r>
      <w:r/>
    </w:p>
    <w:p>
      <w:pPr>
        <w:pStyle w:val="926"/>
        <w:ind w:left="0"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乙方</w:t>
      </w:r>
      <w:r>
        <w:rPr>
          <w:rFonts w:hint="eastAsia" w:ascii="宋体" w:hAnsi="宋体" w:eastAsia="宋体" w:cs="宋体"/>
          <w:b/>
          <w:bCs/>
          <w:color w:val="auto"/>
          <w:sz w:val="24"/>
          <w:szCs w:val="24"/>
          <w:highlight w:val="none"/>
          <w:lang w:val="en-US" w:eastAsia="zh-CN"/>
        </w:rPr>
        <w:t xml:space="preserve">中标</w:t>
      </w:r>
      <w:r>
        <w:rPr>
          <w:rFonts w:hint="eastAsia" w:ascii="宋体" w:hAnsi="宋体" w:eastAsia="宋体" w:cs="宋体"/>
          <w:b/>
          <w:bCs/>
          <w:color w:val="auto"/>
          <w:sz w:val="24"/>
          <w:szCs w:val="24"/>
          <w:highlight w:val="none"/>
        </w:rPr>
        <w:t xml:space="preserve">优惠率：</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rPr>
        <w:t xml:space="preserve">%；供货单价=基准单价×（1-乙方</w:t>
      </w:r>
      <w:r>
        <w:rPr>
          <w:rFonts w:hint="eastAsia" w:ascii="宋体" w:hAnsi="宋体" w:cs="宋体"/>
          <w:b/>
          <w:bCs/>
          <w:color w:val="auto"/>
          <w:sz w:val="24"/>
          <w:szCs w:val="24"/>
          <w:highlight w:val="none"/>
          <w:lang w:val="en-US" w:eastAsia="zh-CN"/>
        </w:rPr>
        <w:t xml:space="preserve">中标</w:t>
      </w:r>
      <w:r>
        <w:rPr>
          <w:rFonts w:hint="eastAsia" w:ascii="宋体" w:hAnsi="宋体" w:eastAsia="宋体" w:cs="宋体"/>
          <w:b/>
          <w:bCs/>
          <w:color w:val="auto"/>
          <w:sz w:val="24"/>
          <w:szCs w:val="24"/>
          <w:highlight w:val="none"/>
        </w:rPr>
        <w:t xml:space="preserve">优惠率）</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ind w:lef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按照以下优先顺序确定基准单价</w:t>
      </w:r>
      <w:r/>
    </w:p>
    <w:p>
      <w:pPr>
        <w:ind w:lef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（1）采购包1-</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以徐州市发展和改革委员会网站“民生均价监测”上最新公布的同类食材平均单价作为基准价；</w:t>
      </w:r>
      <w:r/>
    </w:p>
    <w:p>
      <w:pPr>
        <w:ind w:lef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）如上述网站未有的食材，以甲方人员组成的询价小组于每周五在徐州农副产品批发市场</w:t>
      </w:r>
      <w:r>
        <w:rPr>
          <w:rFonts w:hint="eastAsia" w:ascii="宋体" w:hAnsi="宋体" w:cs="宋体"/>
          <w:color w:val="auto"/>
          <w:sz w:val="24"/>
          <w:szCs w:val="24"/>
          <w:highlight w:val="none"/>
          <w:lang w:val="en-US" w:eastAsia="zh-CN"/>
        </w:rPr>
        <w:t xml:space="preserve">或徐州雨润农副产品全球采购中心</w:t>
      </w:r>
      <w:r>
        <w:rPr>
          <w:rFonts w:hint="eastAsia" w:ascii="宋体" w:hAnsi="宋体" w:eastAsia="宋体" w:cs="宋体"/>
          <w:color w:val="auto"/>
          <w:sz w:val="24"/>
          <w:szCs w:val="24"/>
          <w:highlight w:val="none"/>
          <w:lang w:val="en-US" w:eastAsia="zh-CN"/>
        </w:rPr>
        <w:t xml:space="preserve">采集的食材价格的单价作为下周的基准价；</w:t>
      </w:r>
      <w:r/>
    </w:p>
    <w:p>
      <w:pPr>
        <w:ind w:lef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）如上述还未有的商品，以供应商的批发采购处的的同类菜品零售价为基准单价。</w:t>
      </w:r>
      <w:r/>
    </w:p>
    <w:p>
      <w:pPr>
        <w:ind w:lef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、结算单价=基准单价×（1-中标优惠率），但不得超出基准单价</w:t>
      </w:r>
      <w:r>
        <w:rPr>
          <w:rFonts w:hint="eastAsia" w:ascii="宋体" w:hAnsi="宋体" w:cs="宋体"/>
          <w:color w:val="auto"/>
          <w:sz w:val="24"/>
          <w:szCs w:val="24"/>
          <w:highlight w:val="none"/>
          <w:lang w:val="en-US" w:eastAsia="zh-CN"/>
        </w:rPr>
        <w:t xml:space="preserve">。</w:t>
      </w:r>
      <w:r/>
    </w:p>
    <w:p>
      <w:pPr>
        <w:ind w:lef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val="en-US" w:eastAsia="zh-CN"/>
        </w:rPr>
        <w:t xml:space="preserve">应按</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val="en-US" w:eastAsia="zh-CN"/>
        </w:rPr>
        <w:t xml:space="preserve">需求进行</w:t>
      </w:r>
      <w:r>
        <w:rPr>
          <w:rFonts w:hint="eastAsia" w:ascii="宋体" w:hAnsi="宋体" w:cs="宋体"/>
          <w:color w:val="auto"/>
          <w:sz w:val="24"/>
          <w:szCs w:val="24"/>
          <w:highlight w:val="none"/>
          <w:lang w:val="en-US" w:eastAsia="zh-CN"/>
        </w:rPr>
        <w:t xml:space="preserve">按时</w:t>
      </w:r>
      <w:r>
        <w:rPr>
          <w:rFonts w:hint="eastAsia" w:ascii="宋体" w:hAnsi="宋体" w:eastAsia="宋体" w:cs="宋体"/>
          <w:color w:val="auto"/>
          <w:sz w:val="24"/>
          <w:szCs w:val="24"/>
          <w:highlight w:val="none"/>
          <w:lang w:val="en-US" w:eastAsia="zh-CN"/>
        </w:rPr>
        <w:t xml:space="preserve">配送</w:t>
      </w:r>
      <w:r>
        <w:rPr>
          <w:rFonts w:hint="eastAsia" w:ascii="宋体" w:hAnsi="宋体" w:eastAsia="宋体" w:cs="宋体"/>
          <w:color w:val="auto"/>
          <w:sz w:val="24"/>
          <w:szCs w:val="24"/>
          <w:highlight w:val="none"/>
          <w:lang w:val="en-US" w:eastAsia="zh-CN"/>
        </w:rPr>
        <w:t xml:space="preserve">。不得以任何理由拒绝。</w:t>
      </w:r>
      <w:r/>
    </w:p>
    <w:p>
      <w:pPr>
        <w:ind w:lef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、按月计算应付金额，结算数量以</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val="en-US" w:eastAsia="zh-CN"/>
        </w:rPr>
        <w:t xml:space="preserve">每日签字确认为准，次月付款。</w:t>
      </w:r>
      <w:r/>
    </w:p>
    <w:p>
      <w:pPr>
        <w:ind w:lef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val="en-US" w:eastAsia="zh-CN"/>
        </w:rPr>
        <w:t xml:space="preserve">需向</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val="en-US" w:eastAsia="zh-CN"/>
        </w:rPr>
        <w:t xml:space="preserve">提供合法有效的发票。</w:t>
      </w:r>
      <w:r/>
    </w:p>
    <w:p>
      <w:pPr>
        <w:ind w:lef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、结算单价包括但不限于所有成本费、运输费、人工费、保险费、检查费、检验费、税费（</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val="en-US" w:eastAsia="zh-CN"/>
        </w:rPr>
        <w:t xml:space="preserve">认可的有效增值税普通发票）以及服务期内的所有相关食品采购、检验费用在内的</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val="en-US" w:eastAsia="zh-CN"/>
        </w:rPr>
        <w:t xml:space="preserve">指定地点交货全包价。</w:t>
      </w:r>
      <w:r/>
    </w:p>
    <w:p>
      <w:pPr>
        <w:ind w:lef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、报价需充分考虑合同期限内的市场因素和成本变化状况的风险。</w:t>
      </w:r>
      <w:r/>
    </w:p>
    <w:p>
      <w:pPr>
        <w:pStyle w:val="926"/>
        <w:ind w:firstLine="480"/>
        <w:keepLines w:val="0"/>
        <w:keepNext w:val="0"/>
        <w:pageBreakBefore w:val="0"/>
        <w:spacing w:line="360" w:lineRule="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rPr>
        <w:t xml:space="preserve">、自主采购要求：在本项目履约期间，若</w:t>
      </w:r>
      <w:r>
        <w:rPr>
          <w:rFonts w:hint="eastAsia" w:ascii="宋体" w:hAnsi="宋体" w:cs="宋体"/>
          <w:b w:val="0"/>
          <w:bCs w:val="0"/>
          <w:color w:val="auto"/>
          <w:sz w:val="24"/>
          <w:szCs w:val="24"/>
          <w:highlight w:val="none"/>
          <w:lang w:val="en-US" w:eastAsia="zh-CN"/>
        </w:rPr>
        <w:t xml:space="preserve">甲方</w:t>
      </w:r>
      <w:r>
        <w:rPr>
          <w:rFonts w:hint="eastAsia" w:ascii="宋体" w:hAnsi="宋体" w:eastAsia="宋体" w:cs="宋体"/>
          <w:b w:val="0"/>
          <w:bCs w:val="0"/>
          <w:color w:val="auto"/>
          <w:sz w:val="24"/>
          <w:szCs w:val="24"/>
          <w:highlight w:val="none"/>
        </w:rPr>
        <w:t xml:space="preserve">针对</w:t>
      </w:r>
      <w:r>
        <w:rPr>
          <w:rFonts w:hint="eastAsia" w:ascii="宋体" w:hAnsi="宋体" w:cs="宋体"/>
          <w:b w:val="0"/>
          <w:bCs w:val="0"/>
          <w:color w:val="auto"/>
          <w:sz w:val="24"/>
          <w:szCs w:val="24"/>
          <w:highlight w:val="none"/>
          <w:lang w:val="en-US" w:eastAsia="zh-CN"/>
        </w:rPr>
        <w:t xml:space="preserve">乙方</w:t>
      </w:r>
      <w:r>
        <w:rPr>
          <w:rFonts w:hint="eastAsia" w:ascii="宋体" w:hAnsi="宋体" w:eastAsia="宋体" w:cs="宋体"/>
          <w:b w:val="0"/>
          <w:bCs w:val="0"/>
          <w:color w:val="auto"/>
          <w:sz w:val="24"/>
          <w:szCs w:val="24"/>
          <w:highlight w:val="none"/>
        </w:rPr>
        <w:t xml:space="preserve">所供应的同一规格型号单一商品，连续两次进行市场询价或比价，且两次询价结果的平均价格低于</w:t>
      </w:r>
      <w:r>
        <w:rPr>
          <w:rFonts w:hint="eastAsia" w:ascii="宋体" w:hAnsi="宋体" w:cs="宋体"/>
          <w:b w:val="0"/>
          <w:bCs w:val="0"/>
          <w:color w:val="auto"/>
          <w:sz w:val="24"/>
          <w:szCs w:val="24"/>
          <w:highlight w:val="none"/>
          <w:lang w:val="en-US" w:eastAsia="zh-CN"/>
        </w:rPr>
        <w:t xml:space="preserve">乙方</w:t>
      </w:r>
      <w:r>
        <w:rPr>
          <w:rFonts w:hint="eastAsia" w:ascii="宋体" w:hAnsi="宋体" w:eastAsia="宋体" w:cs="宋体"/>
          <w:b w:val="0"/>
          <w:bCs w:val="0"/>
          <w:color w:val="auto"/>
          <w:sz w:val="24"/>
          <w:szCs w:val="24"/>
          <w:highlight w:val="none"/>
        </w:rPr>
        <w:t xml:space="preserve">当前供应价格，</w:t>
      </w:r>
      <w:r>
        <w:rPr>
          <w:rFonts w:hint="eastAsia" w:ascii="宋体" w:hAnsi="宋体" w:cs="宋体"/>
          <w:b w:val="0"/>
          <w:bCs w:val="0"/>
          <w:color w:val="auto"/>
          <w:sz w:val="24"/>
          <w:szCs w:val="24"/>
          <w:highlight w:val="none"/>
          <w:lang w:val="en-US" w:eastAsia="zh-CN"/>
        </w:rPr>
        <w:t xml:space="preserve">甲方</w:t>
      </w:r>
      <w:r>
        <w:rPr>
          <w:rFonts w:hint="eastAsia" w:ascii="宋体" w:hAnsi="宋体" w:eastAsia="宋体" w:cs="宋体"/>
          <w:b w:val="0"/>
          <w:bCs w:val="0"/>
          <w:color w:val="auto"/>
          <w:sz w:val="24"/>
          <w:szCs w:val="24"/>
          <w:highlight w:val="none"/>
        </w:rPr>
        <w:t xml:space="preserve">与</w:t>
      </w:r>
      <w:r>
        <w:rPr>
          <w:rFonts w:hint="eastAsia" w:ascii="宋体" w:hAnsi="宋体" w:cs="宋体"/>
          <w:b w:val="0"/>
          <w:bCs w:val="0"/>
          <w:color w:val="auto"/>
          <w:sz w:val="24"/>
          <w:szCs w:val="24"/>
          <w:highlight w:val="none"/>
          <w:lang w:val="en-US" w:eastAsia="zh-CN"/>
        </w:rPr>
        <w:t xml:space="preserve">乙方</w:t>
      </w:r>
      <w:r>
        <w:rPr>
          <w:rFonts w:hint="eastAsia" w:ascii="宋体" w:hAnsi="宋体" w:eastAsia="宋体" w:cs="宋体"/>
          <w:b w:val="0"/>
          <w:bCs w:val="0"/>
          <w:color w:val="auto"/>
          <w:sz w:val="24"/>
          <w:szCs w:val="24"/>
          <w:highlight w:val="none"/>
        </w:rPr>
        <w:t xml:space="preserve">协商无果后，</w:t>
      </w:r>
      <w:r>
        <w:rPr>
          <w:rFonts w:hint="eastAsia" w:ascii="宋体" w:hAnsi="宋体" w:cs="宋体"/>
          <w:b w:val="0"/>
          <w:bCs w:val="0"/>
          <w:color w:val="auto"/>
          <w:sz w:val="24"/>
          <w:szCs w:val="24"/>
          <w:highlight w:val="none"/>
          <w:lang w:val="en-US" w:eastAsia="zh-CN"/>
        </w:rPr>
        <w:t xml:space="preserve">甲方</w:t>
      </w:r>
      <w:r>
        <w:rPr>
          <w:rFonts w:hint="eastAsia" w:ascii="宋体" w:hAnsi="宋体" w:eastAsia="宋体" w:cs="宋体"/>
          <w:b w:val="0"/>
          <w:bCs w:val="0"/>
          <w:color w:val="auto"/>
          <w:sz w:val="24"/>
          <w:szCs w:val="24"/>
          <w:highlight w:val="none"/>
        </w:rPr>
        <w:t xml:space="preserve">有权对该单一商品行使自行采购权。</w:t>
      </w:r>
      <w:r/>
    </w:p>
    <w:p>
      <w:pPr>
        <w:pStyle w:val="926"/>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四、支付（采购资金的支付方式、时间、条件）</w:t>
      </w:r>
      <w:r/>
    </w:p>
    <w:p>
      <w:pPr>
        <w:ind w:left="0"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经双方协商一致，选择以下第</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rPr>
        <w:t xml:space="preserve">种付款方式:</w:t>
      </w:r>
      <w:r/>
    </w:p>
    <w:p>
      <w:pPr>
        <w:ind w:left="0"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付款方式一</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提交预付款保函的</w:t>
      </w:r>
      <w:r/>
    </w:p>
    <w:p>
      <w:pPr>
        <w:pStyle w:val="947"/>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预算金额的百分之十(</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0%)即￥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元，在双方签订合同后</w:t>
      </w:r>
      <w:r>
        <w:rPr>
          <w:rFonts w:hint="eastAsia" w:ascii="宋体" w:hAnsi="宋体" w:eastAsia="宋体" w:cs="宋体"/>
          <w:color w:val="auto"/>
          <w:sz w:val="24"/>
          <w:szCs w:val="24"/>
          <w:highlight w:val="none"/>
          <w:lang w:val="en-US" w:eastAsia="zh-CN"/>
        </w:rPr>
        <w:t xml:space="preserve">10个工作日内由甲方办理资金结算手续</w:t>
      </w:r>
      <w:r>
        <w:rPr>
          <w:rFonts w:hint="eastAsia" w:ascii="宋体" w:hAnsi="宋体" w:eastAsia="宋体" w:cs="宋体"/>
          <w:color w:val="auto"/>
          <w:sz w:val="24"/>
          <w:szCs w:val="24"/>
          <w:highlight w:val="none"/>
        </w:rPr>
        <w:t xml:space="preserve">，乙方向甲方出具等额预付款保函后，</w:t>
      </w:r>
      <w:r>
        <w:rPr>
          <w:rFonts w:hint="eastAsia" w:ascii="宋体" w:hAnsi="宋体" w:eastAsia="宋体" w:cs="宋体"/>
          <w:color w:val="auto"/>
          <w:sz w:val="24"/>
          <w:szCs w:val="24"/>
          <w:highlight w:val="none"/>
          <w:lang w:val="en-US" w:eastAsia="zh-CN"/>
        </w:rPr>
        <w:t xml:space="preserve">经审核后</w:t>
      </w:r>
      <w:r>
        <w:rPr>
          <w:rFonts w:hint="eastAsia" w:ascii="宋体" w:hAnsi="宋体" w:eastAsia="宋体" w:cs="宋体"/>
          <w:color w:val="auto"/>
          <w:sz w:val="24"/>
          <w:szCs w:val="24"/>
          <w:highlight w:val="none"/>
        </w:rPr>
        <w:t xml:space="preserve">支付到合同约定的乙方账户。</w:t>
      </w:r>
      <w:r/>
    </w:p>
    <w:p>
      <w:pPr>
        <w:pStyle w:val="926"/>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从次月起，根据上一个月</w:t>
      </w:r>
      <w:r>
        <w:rPr>
          <w:rFonts w:hint="eastAsia" w:ascii="宋体" w:hAnsi="宋体" w:eastAsia="宋体" w:cs="宋体"/>
          <w:color w:val="auto"/>
          <w:sz w:val="24"/>
          <w:szCs w:val="24"/>
          <w:highlight w:val="none"/>
        </w:rPr>
        <w:t xml:space="preserve">实际订单量</w:t>
      </w:r>
      <w:r>
        <w:rPr>
          <w:rFonts w:hint="eastAsia" w:ascii="宋体" w:hAnsi="宋体" w:eastAsia="宋体" w:cs="宋体"/>
          <w:color w:val="auto"/>
          <w:sz w:val="24"/>
          <w:szCs w:val="24"/>
          <w:highlight w:val="none"/>
          <w:lang w:val="en-US" w:eastAsia="zh-CN"/>
        </w:rPr>
        <w:t xml:space="preserve">、验收以及月考核结果，按月进行结算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甲方自收到发票后</w:t>
      </w:r>
      <w:r>
        <w:rPr>
          <w:rFonts w:hint="eastAsia" w:ascii="宋体" w:hAnsi="宋体" w:eastAsia="宋体" w:cs="宋体"/>
          <w:color w:val="auto"/>
          <w:sz w:val="24"/>
          <w:szCs w:val="24"/>
          <w:highlight w:val="none"/>
          <w:lang w:val="en-US" w:eastAsia="zh-CN"/>
        </w:rPr>
        <w:t xml:space="preserve">10个工作日内办理资金结算手续</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经审核后</w:t>
      </w:r>
      <w:r>
        <w:rPr>
          <w:rFonts w:hint="eastAsia" w:ascii="宋体" w:hAnsi="宋体" w:eastAsia="宋体" w:cs="宋体"/>
          <w:color w:val="auto"/>
          <w:sz w:val="24"/>
          <w:szCs w:val="24"/>
          <w:highlight w:val="none"/>
        </w:rPr>
        <w:t xml:space="preserve">支付到合同约定的乙方账户。</w:t>
      </w:r>
      <w:r/>
    </w:p>
    <w:p>
      <w:pPr>
        <w:ind w:left="0"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付款方式</w:t>
      </w:r>
      <w:r>
        <w:rPr>
          <w:rFonts w:hint="eastAsia" w:ascii="宋体" w:hAnsi="宋体" w:eastAsia="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不</w:t>
      </w:r>
      <w:r>
        <w:rPr>
          <w:rFonts w:hint="eastAsia" w:ascii="宋体" w:hAnsi="宋体" w:eastAsia="宋体" w:cs="宋体"/>
          <w:b/>
          <w:bCs/>
          <w:color w:val="auto"/>
          <w:sz w:val="24"/>
          <w:szCs w:val="24"/>
          <w:highlight w:val="none"/>
        </w:rPr>
        <w:t xml:space="preserve">提交预付款保函的</w:t>
      </w:r>
      <w:r/>
    </w:p>
    <w:p>
      <w:pPr>
        <w:pStyle w:val="947"/>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预算金额的百分之十(</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0%)即￥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元，在双方签订合同后</w:t>
      </w:r>
      <w:r>
        <w:rPr>
          <w:rFonts w:hint="eastAsia" w:ascii="宋体" w:hAnsi="宋体" w:eastAsia="宋体" w:cs="宋体"/>
          <w:color w:val="auto"/>
          <w:sz w:val="24"/>
          <w:szCs w:val="24"/>
          <w:highlight w:val="none"/>
          <w:lang w:val="en-US" w:eastAsia="zh-CN"/>
        </w:rPr>
        <w:t xml:space="preserve">10个工作日内由甲方办理资金结算手续</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经审核后</w:t>
      </w:r>
      <w:r>
        <w:rPr>
          <w:rFonts w:hint="eastAsia" w:ascii="宋体" w:hAnsi="宋体" w:eastAsia="宋体" w:cs="宋体"/>
          <w:color w:val="auto"/>
          <w:sz w:val="24"/>
          <w:szCs w:val="24"/>
          <w:highlight w:val="none"/>
        </w:rPr>
        <w:t xml:space="preserve">支付到合同约定的乙方账户。</w:t>
      </w:r>
      <w:r/>
    </w:p>
    <w:p>
      <w:pPr>
        <w:pStyle w:val="926"/>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从次月起，根据上一个月</w:t>
      </w:r>
      <w:r>
        <w:rPr>
          <w:rFonts w:hint="eastAsia" w:ascii="宋体" w:hAnsi="宋体" w:eastAsia="宋体" w:cs="宋体"/>
          <w:color w:val="auto"/>
          <w:sz w:val="24"/>
          <w:szCs w:val="24"/>
          <w:highlight w:val="none"/>
        </w:rPr>
        <w:t xml:space="preserve">实际订单量</w:t>
      </w:r>
      <w:r>
        <w:rPr>
          <w:rFonts w:hint="eastAsia" w:ascii="宋体" w:hAnsi="宋体" w:eastAsia="宋体" w:cs="宋体"/>
          <w:color w:val="auto"/>
          <w:sz w:val="24"/>
          <w:szCs w:val="24"/>
          <w:highlight w:val="none"/>
          <w:lang w:val="en-US" w:eastAsia="zh-CN"/>
        </w:rPr>
        <w:t xml:space="preserve">、验收以及月考核结果，按月进行结算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甲方自收到发票后</w:t>
      </w:r>
      <w:r>
        <w:rPr>
          <w:rFonts w:hint="eastAsia" w:ascii="宋体" w:hAnsi="宋体" w:eastAsia="宋体" w:cs="宋体"/>
          <w:color w:val="auto"/>
          <w:sz w:val="24"/>
          <w:szCs w:val="24"/>
          <w:highlight w:val="none"/>
          <w:lang w:val="en-US" w:eastAsia="zh-CN"/>
        </w:rPr>
        <w:t xml:space="preserve">10个工作日内办理资金结算手续</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经审核后</w:t>
      </w:r>
      <w:r>
        <w:rPr>
          <w:rFonts w:hint="eastAsia" w:ascii="宋体" w:hAnsi="宋体" w:eastAsia="宋体" w:cs="宋体"/>
          <w:color w:val="auto"/>
          <w:sz w:val="24"/>
          <w:szCs w:val="24"/>
          <w:highlight w:val="none"/>
        </w:rPr>
        <w:t xml:space="preserve">支付到合同约定的乙方账户。</w:t>
      </w:r>
      <w:r/>
    </w:p>
    <w:p>
      <w:pPr>
        <w:ind w:left="0"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付款方式三：在签订合同时，乙方明确表示无需预付款的</w:t>
      </w:r>
      <w:r>
        <w:rPr>
          <w:rFonts w:hint="eastAsia" w:ascii="宋体" w:hAnsi="宋体" w:eastAsia="宋体" w:cs="宋体"/>
          <w:color w:val="auto"/>
          <w:sz w:val="24"/>
          <w:szCs w:val="24"/>
          <w:highlight w:val="none"/>
        </w:rPr>
        <w:t xml:space="preserve">（注：此条符合苏财购〔2020〕52号文件要求）</w:t>
      </w:r>
      <w:r/>
    </w:p>
    <w:p>
      <w:pPr>
        <w:pStyle w:val="926"/>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从次月起，根据上一个月</w:t>
      </w:r>
      <w:r>
        <w:rPr>
          <w:rFonts w:hint="eastAsia" w:ascii="宋体" w:hAnsi="宋体" w:eastAsia="宋体" w:cs="宋体"/>
          <w:color w:val="auto"/>
          <w:sz w:val="24"/>
          <w:szCs w:val="24"/>
          <w:highlight w:val="none"/>
        </w:rPr>
        <w:t xml:space="preserve">实际订单量</w:t>
      </w:r>
      <w:r>
        <w:rPr>
          <w:rFonts w:hint="eastAsia" w:ascii="宋体" w:hAnsi="宋体" w:eastAsia="宋体" w:cs="宋体"/>
          <w:color w:val="auto"/>
          <w:sz w:val="24"/>
          <w:szCs w:val="24"/>
          <w:highlight w:val="none"/>
          <w:lang w:val="en-US" w:eastAsia="zh-CN"/>
        </w:rPr>
        <w:t xml:space="preserve">、验收以及月考核结果，按月进行结算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甲方自收到发票后</w:t>
      </w:r>
      <w:r>
        <w:rPr>
          <w:rFonts w:hint="eastAsia" w:ascii="宋体" w:hAnsi="宋体" w:eastAsia="宋体" w:cs="宋体"/>
          <w:color w:val="auto"/>
          <w:sz w:val="24"/>
          <w:szCs w:val="24"/>
          <w:highlight w:val="none"/>
          <w:lang w:val="en-US" w:eastAsia="zh-CN"/>
        </w:rPr>
        <w:t xml:space="preserve">10个工作日内办理资金结算手续</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经审核后</w:t>
      </w:r>
      <w:r>
        <w:rPr>
          <w:rFonts w:hint="eastAsia" w:ascii="宋体" w:hAnsi="宋体" w:eastAsia="宋体" w:cs="宋体"/>
          <w:color w:val="auto"/>
          <w:sz w:val="24"/>
          <w:szCs w:val="24"/>
          <w:highlight w:val="none"/>
        </w:rPr>
        <w:t xml:space="preserve">支付到合同约定的乙方账户。</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乙方需提交的支付文件包括:</w:t>
      </w:r>
      <w:r/>
    </w:p>
    <w:p>
      <w:pPr>
        <w:pStyle w:val="911"/>
        <w:ind w:left="0" w:right="0" w:firstLine="48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①乙方出具的正式发票；</w:t>
      </w:r>
      <w:r/>
    </w:p>
    <w:p>
      <w:pPr>
        <w:pStyle w:val="911"/>
        <w:ind w:left="0" w:right="0" w:firstLine="480"/>
        <w:keepLines w:val="0"/>
        <w:keepNext w:val="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②甲方确认的送货清单</w:t>
      </w:r>
      <w:r>
        <w:rPr>
          <w:rFonts w:hint="eastAsia" w:ascii="宋体" w:hAnsi="宋体" w:eastAsia="宋体" w:cs="宋体"/>
          <w:color w:val="auto"/>
          <w:sz w:val="24"/>
          <w:szCs w:val="24"/>
          <w:highlight w:val="none"/>
          <w:lang w:eastAsia="zh-CN"/>
        </w:rPr>
        <w:t xml:space="preserve">；</w:t>
      </w:r>
      <w:r/>
    </w:p>
    <w:p>
      <w:pPr>
        <w:pStyle w:val="911"/>
        <w:ind w:left="0" w:right="0" w:firstLine="480"/>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③甲方出具的结算价款考核确认单。</w:t>
      </w:r>
      <w:r/>
    </w:p>
    <w:p>
      <w:pPr>
        <w:pStyle w:val="926"/>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因乙方未能开具真实有效的发票或未提供支付申请而导致甲方延期付款的，责任由乙方承担。开具发票为本合同乙方主要义务。甲方内部正常审批流程不计算在付款期限之内。若因财政付款审批程序滞后，甲方不承担逾期付款的违约责任。</w:t>
      </w:r>
      <w:r/>
    </w:p>
    <w:p>
      <w:pPr>
        <w:pStyle w:val="926"/>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合同约定的乙方账户：</w:t>
      </w:r>
      <w:r/>
    </w:p>
    <w:p>
      <w:pPr>
        <w:pStyle w:val="926"/>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p>
    <w:p>
      <w:pPr>
        <w:pStyle w:val="926"/>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银行账号：</w:t>
      </w:r>
      <w:r/>
    </w:p>
    <w:p>
      <w:pPr>
        <w:pStyle w:val="926"/>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其他</w:t>
      </w:r>
      <w:r/>
    </w:p>
    <w:p>
      <w:pPr>
        <w:pStyle w:val="926"/>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若出现因乙方违约导致双方有争议的情况，待争议解决后3个工作日内甲方再向乙方支付货款，期间造成的经济损失由乙方自行承担。</w:t>
      </w:r>
      <w:r/>
    </w:p>
    <w:p>
      <w:pPr>
        <w:pStyle w:val="926"/>
        <w:ind w:left="0" w:firstLine="480"/>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在预算金额范围内按照实际发生金额据实结算支付。</w:t>
      </w:r>
      <w:r/>
    </w:p>
    <w:p>
      <w:pPr>
        <w:pStyle w:val="926"/>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五、质量标准和检验</w:t>
      </w:r>
      <w:r/>
    </w:p>
    <w:p>
      <w:pPr>
        <w:pStyle w:val="926"/>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（一）质量标准</w:t>
      </w:r>
      <w:r/>
    </w:p>
    <w:p>
      <w:pPr>
        <w:pStyle w:val="926"/>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乙方所供应的食品数量不得短缺，质量必须符合国家《</w:t>
      </w:r>
      <w:r>
        <w:rPr>
          <w:rFonts w:hint="eastAsia" w:ascii="宋体" w:hAnsi="宋体" w:eastAsia="宋体" w:cs="宋体"/>
          <w:color w:val="auto"/>
          <w:sz w:val="24"/>
          <w:szCs w:val="24"/>
          <w:highlight w:val="none"/>
          <w:lang w:eastAsia="zh-CN"/>
        </w:rPr>
        <w:t xml:space="preserve">中华人民共和国食品安全法</w:t>
      </w:r>
      <w:r>
        <w:rPr>
          <w:rFonts w:hint="eastAsia" w:ascii="宋体" w:hAnsi="宋体" w:eastAsia="宋体" w:cs="宋体"/>
          <w:color w:val="auto"/>
          <w:sz w:val="24"/>
          <w:szCs w:val="24"/>
          <w:highlight w:val="none"/>
        </w:rPr>
        <w:t xml:space="preserve">》等有关法律法规和《餐饮业和集体用餐配送单位卫生规范》等相关产品国家标准，特殊物品应符合行业内通用标准。所供食品均符合《国家食品卫生标准》、《食品卫生法》和《动物检疫法》等相关规定。</w:t>
      </w:r>
      <w:r/>
    </w:p>
    <w:p>
      <w:pPr>
        <w:pStyle w:val="926"/>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乙方提供的所有</w:t>
      </w:r>
      <w:r>
        <w:rPr>
          <w:rFonts w:hint="eastAsia" w:ascii="宋体" w:hAnsi="宋体" w:cs="宋体"/>
          <w:color w:val="auto"/>
          <w:sz w:val="24"/>
          <w:szCs w:val="24"/>
          <w:highlight w:val="none"/>
          <w:lang w:val="en-US" w:eastAsia="zh-CN"/>
        </w:rPr>
        <w:t xml:space="preserve">大</w:t>
      </w:r>
      <w:r>
        <w:rPr>
          <w:rFonts w:hint="eastAsia" w:ascii="宋体" w:hAnsi="宋体" w:eastAsia="宋体" w:cs="宋体"/>
          <w:color w:val="auto"/>
          <w:sz w:val="24"/>
          <w:szCs w:val="24"/>
          <w:highlight w:val="none"/>
          <w:lang w:val="en-US" w:eastAsia="zh-CN"/>
        </w:rPr>
        <w:t xml:space="preserve">米、</w:t>
      </w:r>
      <w:r>
        <w:rPr>
          <w:rFonts w:hint="eastAsia" w:ascii="宋体" w:hAnsi="宋体" w:cs="宋体"/>
          <w:color w:val="auto"/>
          <w:sz w:val="24"/>
          <w:szCs w:val="24"/>
          <w:highlight w:val="none"/>
          <w:lang w:val="en-US" w:eastAsia="zh-CN"/>
        </w:rPr>
        <w:t xml:space="preserve">面粉</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食用油</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调味品</w:t>
      </w:r>
      <w:r>
        <w:rPr>
          <w:rFonts w:hint="eastAsia" w:ascii="宋体" w:hAnsi="宋体" w:eastAsia="宋体" w:cs="宋体"/>
          <w:color w:val="auto"/>
          <w:sz w:val="24"/>
          <w:szCs w:val="24"/>
          <w:highlight w:val="none"/>
        </w:rPr>
        <w:t xml:space="preserve">须为非转基因产品</w:t>
      </w:r>
      <w:r>
        <w:rPr>
          <w:rFonts w:hint="eastAsia" w:ascii="宋体" w:hAnsi="宋体" w:cs="宋体"/>
          <w:color w:val="auto"/>
          <w:sz w:val="24"/>
          <w:szCs w:val="24"/>
          <w:highlight w:val="none"/>
          <w:lang w:val="en-US" w:eastAsia="zh-CN"/>
        </w:rPr>
        <w:t xml:space="preserve">且</w:t>
      </w:r>
      <w:r>
        <w:rPr>
          <w:rFonts w:hint="eastAsia" w:ascii="宋体" w:hAnsi="宋体" w:eastAsia="宋体" w:cs="宋体"/>
          <w:color w:val="auto"/>
          <w:sz w:val="24"/>
          <w:szCs w:val="24"/>
          <w:highlight w:val="none"/>
        </w:rPr>
        <w:t xml:space="preserve">由大型正规厂商出品，相关证件齐全。严禁配送假冒、变质、过期的产品，不得弄虚作假或以次充好，</w:t>
      </w:r>
      <w:r>
        <w:rPr>
          <w:rFonts w:hint="eastAsia" w:ascii="宋体" w:hAnsi="宋体" w:eastAsia="宋体" w:cs="宋体"/>
          <w:color w:val="auto"/>
          <w:sz w:val="24"/>
          <w:szCs w:val="24"/>
          <w:highlight w:val="none"/>
        </w:rPr>
        <w:t xml:space="preserve">对于不符合质量要求的物品甲方食堂有权要求乙方及时退货或换货，乙方必须无条件退换，由此产生的一切后果由乙方承担。</w:t>
      </w:r>
      <w:r/>
    </w:p>
    <w:p>
      <w:pPr>
        <w:pStyle w:val="926"/>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乙方为满足质量标准提供的人员和车辆配备方案详见合同附件3。</w:t>
      </w:r>
      <w:r/>
    </w:p>
    <w:p>
      <w:pPr>
        <w:pStyle w:val="926"/>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（二）验收检验</w:t>
      </w:r>
      <w:r/>
    </w:p>
    <w:p>
      <w:pPr>
        <w:pStyle w:val="926"/>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甲方食堂每天对供应食品的品名、规格、数量、单价和质量进行现场验收，以甲方食堂的验货数量为准，乙方每次随货附一式三份盖章的送货清单，供甲方食堂验货后签字确认，</w:t>
      </w:r>
      <w:r>
        <w:rPr>
          <w:rFonts w:hint="eastAsia" w:ascii="宋体" w:hAnsi="宋体" w:eastAsia="宋体" w:cs="宋体"/>
          <w:color w:val="auto"/>
          <w:sz w:val="24"/>
          <w:szCs w:val="24"/>
          <w:highlight w:val="none"/>
        </w:rPr>
        <w:t xml:space="preserve">甲方食堂执</w:t>
      </w:r>
      <w:r>
        <w:rPr>
          <w:rFonts w:hint="eastAsia" w:ascii="宋体" w:hAnsi="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份，乙方执</w:t>
      </w:r>
      <w:r>
        <w:rPr>
          <w:rFonts w:hint="eastAsia" w:ascii="宋体" w:hAnsi="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份，</w:t>
      </w:r>
      <w:r>
        <w:rPr>
          <w:rFonts w:hint="eastAsia" w:ascii="宋体" w:hAnsi="宋体" w:cs="宋体"/>
          <w:color w:val="auto"/>
          <w:sz w:val="24"/>
          <w:szCs w:val="24"/>
          <w:highlight w:val="none"/>
          <w:lang w:val="en-US" w:eastAsia="zh-CN"/>
        </w:rPr>
        <w:t xml:space="preserve">每月底提供整月完整供货清单</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作为送达、收货及合同费用计算的凭证。若乙方供应食品运输损坏率较高且影响甲方食堂正常使用，或原材料已验收入库但在甲方食堂使用的过程中发现配送商品不合格，甲方食堂有权要求乙方及时退换，并按合同约定要求乙方支付违约金，乙方必须无条件退换，由此产生的一切后果由乙方承担。</w:t>
      </w:r>
      <w:r/>
    </w:p>
    <w:p>
      <w:pPr>
        <w:pStyle w:val="926"/>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验收标准（验收要求、验收标准和程序）：见合同附件5。</w:t>
      </w:r>
      <w:r/>
    </w:p>
    <w:p>
      <w:pPr>
        <w:pStyle w:val="926"/>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（三）供应时间（具体以甲方食堂要求为准）</w:t>
      </w:r>
      <w:r/>
    </w:p>
    <w:p>
      <w:pPr>
        <w:pStyle w:val="926"/>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乙方每日必须按照甲方要求的时间将甲方食堂所需食品送至指定地点进行验收，乙方如送货迟到超过半小时，甲方可扣乙方当天总货款的10%</w:t>
      </w:r>
      <w:r>
        <w:rPr>
          <w:rFonts w:hint="eastAsia" w:ascii="宋体" w:hAnsi="宋体" w:eastAsia="宋体" w:cs="宋体"/>
          <w:color w:val="auto"/>
          <w:sz w:val="24"/>
          <w:szCs w:val="24"/>
          <w:highlight w:val="none"/>
          <w:lang w:eastAsia="zh-CN"/>
        </w:rPr>
        <w:t xml:space="preserve">作为</w:t>
      </w:r>
      <w:r>
        <w:rPr>
          <w:rFonts w:hint="eastAsia" w:ascii="宋体" w:hAnsi="宋体" w:eastAsia="宋体" w:cs="宋体"/>
          <w:color w:val="auto"/>
          <w:sz w:val="24"/>
          <w:szCs w:val="24"/>
          <w:highlight w:val="none"/>
        </w:rPr>
        <w:t xml:space="preserve">违约金。因迟到一小时以上而造成甲方食堂无法正常供餐的，甲方有权拒收并从别处紧急采购，采购费用从乙方货款中扣除；如第二次发生类似情况，除采购费用从乙方货款中扣除外，并扣除结账货款5000元；如第三次发生类似情况，甲方有权单方面解除合同，并有权追究乙方相关经济、法律责任。遇有特殊任务或其他情况，应以甲方具体要求为准。</w:t>
      </w:r>
      <w:r/>
    </w:p>
    <w:p>
      <w:pPr>
        <w:pStyle w:val="926"/>
        <w:ind w:left="0" w:firstLine="480"/>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如遇特殊情况，乙方要为甲方食堂提供紧急配送服务，接甲方电话通知后，</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小时内送达。乙方如送货迟到超过1小时，甲方可扣乙方货款的10%</w:t>
      </w:r>
      <w:r>
        <w:rPr>
          <w:rFonts w:hint="eastAsia" w:ascii="宋体" w:hAnsi="宋体" w:eastAsia="宋体" w:cs="宋体"/>
          <w:color w:val="auto"/>
          <w:sz w:val="24"/>
          <w:szCs w:val="24"/>
          <w:highlight w:val="none"/>
          <w:lang w:eastAsia="zh-CN"/>
        </w:rPr>
        <w:t xml:space="preserve">作为</w:t>
      </w:r>
      <w:r>
        <w:rPr>
          <w:rFonts w:hint="eastAsia" w:ascii="宋体" w:hAnsi="宋体" w:eastAsia="宋体" w:cs="宋体"/>
          <w:color w:val="auto"/>
          <w:sz w:val="24"/>
          <w:szCs w:val="24"/>
          <w:highlight w:val="none"/>
        </w:rPr>
        <w:t xml:space="preserve">违约金；因迟到2小时以上而造成甲方食堂无法正常供餐的，甲方有权拒收并从别处紧急采购，采购费用从乙方货款中扣除；如第二次发生类似情况，除采购费用从乙方货款中扣除外，并扣除结账货款5000元；如第三次发生类似情况，甲方有权单方面解除合同，并有权追究乙方相关经济、法律责任。遇有特殊任务或其他情况，应以甲方具体要求为准。</w:t>
      </w:r>
      <w:r/>
    </w:p>
    <w:p>
      <w:pPr>
        <w:pStyle w:val="926"/>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 包装与标记</w:t>
      </w:r>
      <w:r/>
    </w:p>
    <w:p>
      <w:pPr>
        <w:pStyle w:val="926"/>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商品（合同标的）包装具体要求：见《关于印发《商品包装政府采购需求标准（试行）》、《快递包装政府采购需求标准（试行）》的通知》（财办库〔2020〕123号）中《商品包装政府采购需求标准（试行）》。</w:t>
      </w:r>
      <w:r/>
    </w:p>
    <w:p>
      <w:pPr>
        <w:pStyle w:val="926"/>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快递包装具体要求：见《关于印发《商品包装政府采购需求标准（试行）》、《快递包装政府采购需求标准（试行）》的通知》（财办库〔2020〕123号）中《快递包装政府采购需求标准（试行）》。</w:t>
      </w:r>
      <w:r/>
    </w:p>
    <w:p>
      <w:pPr>
        <w:pStyle w:val="926"/>
        <w:keepLines w:val="0"/>
        <w:keepNext w:val="0"/>
        <w:pageBreakBefore w:val="0"/>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七 </w:t>
      </w:r>
      <w:r>
        <w:rPr>
          <w:rFonts w:hint="eastAsia" w:ascii="宋体" w:hAnsi="宋体" w:cs="宋体"/>
          <w:b/>
          <w:bCs/>
          <w:color w:val="auto"/>
          <w:sz w:val="24"/>
          <w:szCs w:val="24"/>
          <w:highlight w:val="none"/>
        </w:rPr>
        <w:t xml:space="preserve">临期产品退换要求</w:t>
      </w:r>
      <w:r/>
    </w:p>
    <w:p>
      <w:pPr>
        <w:pStyle w:val="926"/>
        <w:ind w:left="0" w:firstLine="480"/>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7.1 临期标准界定：根据商品品类及保质期差异，临期节点按以下标准划分，双方可根据具体商品特性另行约定补充标准：</w:t>
      </w:r>
      <w:r/>
    </w:p>
    <w:p>
      <w:pPr>
        <w:pStyle w:val="926"/>
        <w:ind w:left="0" w:firstLine="480"/>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7.1.1 保质期1年及以上的商品：剩余保质期不足3个月；</w:t>
      </w:r>
      <w:r/>
    </w:p>
    <w:p>
      <w:pPr>
        <w:pStyle w:val="926"/>
        <w:ind w:left="0" w:firstLine="480"/>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7.1.2 保质期6个月-1年（不含1年） 的商品：剩余保质期不足2个月；</w:t>
      </w:r>
      <w:r/>
    </w:p>
    <w:p>
      <w:pPr>
        <w:pStyle w:val="926"/>
        <w:ind w:left="0" w:firstLine="480"/>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7.1.3 保质期3个月-6个月（不含6个月） 的商品：剩余保质期不足1个月；</w:t>
      </w:r>
      <w:r/>
    </w:p>
    <w:p>
      <w:pPr>
        <w:pStyle w:val="926"/>
        <w:ind w:left="0" w:firstLine="480"/>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7.1.4 保质期3个月以内的商品：剩余保质期不足15天；</w:t>
      </w:r>
      <w:r/>
    </w:p>
    <w:p>
      <w:pPr>
        <w:pStyle w:val="926"/>
        <w:ind w:left="0" w:firstLine="480"/>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7.2 临期产品申报与确认：</w:t>
      </w:r>
      <w:r/>
    </w:p>
    <w:p>
      <w:pPr>
        <w:pStyle w:val="926"/>
        <w:ind w:left="0" w:firstLine="480"/>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7.2.1 甲方需每周对乙方供应的商品进行临期排查，发现临期产品后2个工作日内，通过双方约定的系统提交《临期产品申报单》，注明商品名称、规格、数量、当前保质期剩余时长及库存位置；</w:t>
      </w:r>
      <w:r/>
    </w:p>
    <w:p>
      <w:pPr>
        <w:pStyle w:val="926"/>
        <w:ind w:left="0" w:firstLine="480"/>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7.2.2 乙方需在收到申报单后1个工作日内完成核对，确认无误后回复甲方；若对临期判定有异议，需同步提供依据，双方应在24小时内协商达成一致，逾期未提出异议视为默认。</w:t>
      </w:r>
      <w:r/>
    </w:p>
    <w:p>
      <w:pPr>
        <w:pStyle w:val="926"/>
        <w:ind w:left="0" w:firstLine="480"/>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7.3 换货与退货选择及执行：</w:t>
      </w:r>
      <w:r/>
    </w:p>
    <w:p>
      <w:pPr>
        <w:pStyle w:val="926"/>
        <w:ind w:left="0" w:firstLine="480"/>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7.3.1 换货方式：乙方需在确认临期后3个工作日内，到甲方门店提取临期产品，并同步送达同等规格、数量、且剩余保质期不低于总保质期2/3的全新合格商品；换货过程中产生的运输、搬运费用由乙方承担；</w:t>
      </w:r>
      <w:r/>
    </w:p>
    <w:p>
      <w:pPr>
        <w:pStyle w:val="926"/>
        <w:ind w:left="0" w:firstLine="480"/>
        <w:keepLines w:val="0"/>
        <w:keepNext w:val="0"/>
        <w:pageBreakBefore w:val="0"/>
        <w:spacing w:line="360" w:lineRule="auto"/>
        <w:rPr>
          <w:rFonts w:hint="eastAsia"/>
          <w:color w:val="auto"/>
          <w:sz w:val="24"/>
          <w:szCs w:val="24"/>
          <w:highlight w:val="none"/>
        </w:rPr>
      </w:pPr>
      <w:r>
        <w:rPr>
          <w:rFonts w:hint="eastAsia" w:ascii="宋体" w:hAnsi="宋体" w:eastAsia="宋体" w:cs="宋体"/>
          <w:color w:val="auto"/>
          <w:sz w:val="24"/>
          <w:szCs w:val="24"/>
          <w:highlight w:val="none"/>
          <w:lang w:val="en-US" w:eastAsia="zh-CN" w:bidi="ar-SA"/>
        </w:rPr>
        <w:t xml:space="preserve">7.3.2 退货方式：若甲方选择退货，在乙方提取临期产品并验收无误后，在次月货款结算中删减对应货品金额</w:t>
      </w:r>
      <w:r>
        <w:rPr>
          <w:rFonts w:hint="eastAsia" w:ascii="宋体" w:hAnsi="宋体" w:cs="宋体"/>
          <w:color w:val="auto"/>
          <w:sz w:val="24"/>
          <w:szCs w:val="24"/>
          <w:highlight w:val="none"/>
          <w:lang w:val="en-US" w:eastAsia="zh-CN" w:bidi="ar-SA"/>
        </w:rPr>
        <w:t xml:space="preserve">。</w:t>
      </w:r>
      <w:r/>
    </w:p>
    <w:p>
      <w:pPr>
        <w:pStyle w:val="926"/>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b/>
          <w:bCs/>
          <w:color w:val="auto"/>
          <w:sz w:val="24"/>
          <w:szCs w:val="24"/>
          <w:highlight w:val="none"/>
          <w:lang w:val="en-US" w:eastAsia="zh-CN"/>
        </w:rPr>
        <w:t xml:space="preserve">八</w:t>
      </w:r>
      <w:r>
        <w:rPr>
          <w:rFonts w:hint="eastAsia" w:ascii="宋体" w:hAnsi="宋体" w:eastAsia="宋体" w:cs="宋体"/>
          <w:b/>
          <w:bCs/>
          <w:color w:val="auto"/>
          <w:sz w:val="24"/>
          <w:szCs w:val="24"/>
          <w:highlight w:val="none"/>
        </w:rPr>
        <w:t xml:space="preserve">、违约责任</w:t>
      </w:r>
      <w:r/>
    </w:p>
    <w:p>
      <w:pPr>
        <w:pStyle w:val="926"/>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（一）甲方违约责任</w:t>
      </w:r>
      <w:r/>
    </w:p>
    <w:p>
      <w:pPr>
        <w:pStyle w:val="926"/>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乙方按合同履约，甲方按合同约定支付食堂食材费用，甲方每逾期10天，甲方向乙方支付当次应支付食堂食材费用0.1%的违约金，但违约金的总数不超过当次应支付食堂食材费用的1%。</w:t>
      </w:r>
      <w:r/>
    </w:p>
    <w:p>
      <w:pPr>
        <w:pStyle w:val="926"/>
        <w:numPr>
          <w:ilvl w:val="0"/>
          <w:numId w:val="0"/>
        </w:num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乙方违约责任</w:t>
      </w:r>
      <w:r/>
    </w:p>
    <w:p>
      <w:pPr>
        <w:pStyle w:val="926"/>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数量违约</w:t>
      </w:r>
      <w:r/>
    </w:p>
    <w:p>
      <w:pPr>
        <w:pStyle w:val="926"/>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应按照甲方要求的数量足额供应，如发现乙方存在主观故意或弄虚作假，第一次发现，扣除当日货款的10%；第二次发现，扣除当周货款的10%；上述两种情形，除扣除货款（违约性质）外，同时按照实际供应的数量结算款项；第三次发现，扣除当月货款的10%，并有权终止合同。</w:t>
      </w:r>
      <w:r/>
    </w:p>
    <w:p>
      <w:pPr>
        <w:pStyle w:val="926"/>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质量违约</w:t>
      </w:r>
      <w:r/>
    </w:p>
    <w:p>
      <w:pPr>
        <w:pStyle w:val="926"/>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甲方每月对乙方所供应商品随机抽取进行送检，送检品类及抽取次数由甲方决定。乙方应按照国家食品安全相关规定及甲方对菜品质量的要求进行送货。</w:t>
      </w:r>
      <w:r/>
    </w:p>
    <w:p>
      <w:pPr>
        <w:pStyle w:val="926"/>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如发现不符合合同规定的货品，乙方应无条件收回所供应的货品并给予甲方书面答复说明原因，并在甲方要求的时间内更换好所需货品，由此造成的损失和影响由乙方负责。第一次验收不合格，甲方发出书面警告，第二次乙方按照5000元承担违约责任，甲方有权在当期付款中扣除。第三次甲方有权解除合同。</w:t>
      </w:r>
      <w:r/>
    </w:p>
    <w:p>
      <w:pPr>
        <w:pStyle w:val="926"/>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留样与抽查送检：甲方将对每批次配送的货品进行留样保存，并每月随机抽样送检一次，送检费用由乙方承担。如有食品卫生安全监督部门或相关部门对货品进行检查，乙方须全力配合，不得找任何借口推脱。</w:t>
      </w:r>
      <w:r/>
    </w:p>
    <w:p>
      <w:pPr>
        <w:pStyle w:val="926"/>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甲方若发现乙方向甲方提交的投标资料以及本合同所载内容有弄虚作假、隐瞒事实内容等情形的，甲方有权视情形单方解除本合同，乙方除应退还甲方已支付的合同款外，还应向甲方支付合同总金额20%的违约金。</w:t>
      </w:r>
      <w:r/>
    </w:p>
    <w:p>
      <w:pPr>
        <w:pStyle w:val="926"/>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服务违约</w:t>
      </w:r>
      <w:r/>
    </w:p>
    <w:p>
      <w:pPr>
        <w:pStyle w:val="926"/>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参照本合同“</w:t>
      </w:r>
      <w:r>
        <w:rPr>
          <w:rFonts w:hint="eastAsia" w:ascii="宋体" w:hAnsi="宋体" w:eastAsia="宋体" w:cs="宋体"/>
          <w:b/>
          <w:bCs/>
          <w:color w:val="auto"/>
          <w:sz w:val="24"/>
          <w:szCs w:val="24"/>
          <w:highlight w:val="none"/>
        </w:rPr>
        <w:t xml:space="preserve">质量标准和检验</w:t>
      </w:r>
      <w:r>
        <w:rPr>
          <w:rFonts w:hint="eastAsia" w:ascii="宋体" w:hAnsi="宋体" w:eastAsia="宋体" w:cs="宋体"/>
          <w:color w:val="auto"/>
          <w:sz w:val="24"/>
          <w:szCs w:val="24"/>
          <w:highlight w:val="none"/>
        </w:rPr>
        <w:t xml:space="preserve">”相关要求。</w:t>
      </w:r>
      <w:r/>
    </w:p>
    <w:p>
      <w:pPr>
        <w:pStyle w:val="926"/>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保密违约</w:t>
      </w:r>
      <w:r/>
    </w:p>
    <w:p>
      <w:pPr>
        <w:pStyle w:val="926"/>
        <w:ind w:left="0" w:firstLine="480"/>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乙方严格遵守各项保密规定，在配送期间应按照甲方管理规定约束自身行为；对甲方各类供应情况不得提供给任何其他单位或个人，否则甲方有权解除合同并按国家相关法律法规处理。</w:t>
      </w:r>
      <w:r/>
    </w:p>
    <w:p>
      <w:pPr>
        <w:pStyle w:val="926"/>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b/>
          <w:bCs/>
          <w:color w:val="auto"/>
          <w:sz w:val="24"/>
          <w:szCs w:val="24"/>
          <w:highlight w:val="none"/>
          <w:lang w:val="en-US" w:eastAsia="zh-CN"/>
        </w:rPr>
        <w:t xml:space="preserve">九</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rPr>
        <w:t xml:space="preserve"> 本合同在下列条件全部满足后生效，生效日期以下列条件全部满足的最晚日期为准： </w:t>
      </w:r>
      <w:r/>
    </w:p>
    <w:p>
      <w:pPr>
        <w:pStyle w:val="926"/>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双方加盖公章或合同专用章； </w:t>
      </w:r>
      <w:r/>
    </w:p>
    <w:p>
      <w:pPr>
        <w:pStyle w:val="926"/>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甲方收到乙方按政府采购合同金额（</w:t>
      </w:r>
      <w:r>
        <w:rPr>
          <w:rFonts w:hint="eastAsia" w:ascii="宋体" w:hAnsi="宋体" w:eastAsia="宋体" w:cs="宋体"/>
          <w:color w:val="auto"/>
          <w:sz w:val="24"/>
          <w:szCs w:val="24"/>
          <w:highlight w:val="none"/>
          <w:lang w:val="en-US" w:eastAsia="zh-CN"/>
        </w:rPr>
        <w:t xml:space="preserve">预算金额</w:t>
      </w:r>
      <w:r>
        <w:rPr>
          <w:rFonts w:hint="eastAsia" w:ascii="宋体" w:hAnsi="宋体" w:eastAsia="宋体" w:cs="宋体"/>
          <w:color w:val="auto"/>
          <w:sz w:val="24"/>
          <w:szCs w:val="24"/>
          <w:highlight w:val="none"/>
        </w:rPr>
        <w:t xml:space="preserve">）的10%提交的履约保证金。</w:t>
      </w:r>
      <w:r>
        <w:rPr>
          <w:rFonts w:hint="eastAsia" w:ascii="宋体" w:hAnsi="宋体" w:eastAsia="宋体" w:cs="宋体"/>
          <w:color w:val="auto"/>
          <w:sz w:val="24"/>
          <w:szCs w:val="24"/>
          <w:highlight w:val="none"/>
          <w:lang w:val="en-US" w:eastAsia="zh-CN"/>
        </w:rPr>
        <w:t xml:space="preserve">服务期满后退还，</w:t>
      </w:r>
      <w:r>
        <w:rPr>
          <w:rFonts w:hint="eastAsia" w:ascii="宋体" w:hAnsi="宋体" w:eastAsia="宋体" w:cs="宋体"/>
          <w:color w:val="auto"/>
          <w:sz w:val="24"/>
          <w:szCs w:val="24"/>
          <w:highlight w:val="none"/>
        </w:rPr>
        <w:t xml:space="preserve">履约保证金退还时不计利息</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以支票、汇票、本票或者金融机构、担保机构出具的保函等非现金形式缴纳。</w:t>
      </w:r>
      <w:r/>
    </w:p>
    <w:p>
      <w:pPr>
        <w:pStyle w:val="926"/>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b/>
          <w:bCs/>
          <w:color w:val="auto"/>
          <w:sz w:val="24"/>
          <w:szCs w:val="24"/>
          <w:highlight w:val="none"/>
          <w:lang w:val="en-US" w:eastAsia="zh-CN"/>
        </w:rPr>
        <w:t xml:space="preserve">十</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rPr>
        <w:t xml:space="preserve">合同的双方当事人不得擅自变更、中止或者终止合同。 </w:t>
      </w:r>
      <w:r/>
    </w:p>
    <w:p>
      <w:pPr>
        <w:pStyle w:val="926"/>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十</w:t>
      </w:r>
      <w:r>
        <w:rPr>
          <w:rFonts w:hint="eastAsia" w:ascii="宋体" w:hAnsi="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rPr>
        <w:t xml:space="preserve">双方约定，在履行合同过程中产生争议时，应通过友好协商解决，若协商不成可向甲方所在地人民法院提起诉讼。</w:t>
      </w:r>
      <w:r/>
    </w:p>
    <w:p>
      <w:pPr>
        <w:pStyle w:val="926"/>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十</w:t>
      </w:r>
      <w:r>
        <w:rPr>
          <w:rFonts w:hint="eastAsia" w:ascii="宋体" w:hAnsi="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rPr>
        <w:t xml:space="preserve">合同其他未尽事宜及与招标文件有矛盾之处，以招标文件[项目编号：</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]为准。</w:t>
      </w:r>
      <w:r/>
    </w:p>
    <w:p>
      <w:pPr>
        <w:pStyle w:val="926"/>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十</w:t>
      </w:r>
      <w:r>
        <w:rPr>
          <w:rFonts w:hint="eastAsia" w:ascii="宋体" w:hAnsi="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rPr>
        <w:t xml:space="preserve">合同一式</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份，具有同等法律效力，甲方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份，乙方</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份。</w:t>
      </w:r>
      <w:r/>
    </w:p>
    <w:p>
      <w:pPr>
        <w:pStyle w:val="926"/>
        <w:contextualSpacing/>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十</w:t>
      </w:r>
      <w:r>
        <w:rPr>
          <w:rFonts w:hint="eastAsia" w:ascii="宋体" w:hAnsi="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rPr>
        <w:t xml:space="preserve">按照《财政部关于做好政府采购信息公开工作的通知》（财库〔2015〕135号），甲方依据《保守国家秘密法》等法律制度规定确定本合同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部分涉及国家秘密，该涉及国家秘密部分不公告；甲方依据《反不正当竞争法》等法律制度的规定与乙方约定本合同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部分涉及商业秘密，该涉及商业秘密部分不公告。</w:t>
      </w:r>
      <w:r/>
    </w:p>
    <w:p>
      <w:pPr>
        <w:pStyle w:val="926"/>
        <w:contextualSpacing/>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以下无正文</w:t>
      </w:r>
      <w:r>
        <w:rPr>
          <w:rFonts w:hint="eastAsia" w:ascii="宋体" w:hAnsi="宋体" w:eastAsia="宋体" w:cs="宋体"/>
          <w:color w:val="auto"/>
          <w:sz w:val="24"/>
          <w:szCs w:val="24"/>
          <w:highlight w:val="none"/>
          <w:lang w:eastAsia="zh-CN"/>
        </w:rPr>
        <w:t xml:space="preserve">）</w:t>
      </w:r>
      <w:r/>
    </w:p>
    <w:p>
      <w:pPr>
        <w:pStyle w:val="926"/>
        <w:contextualSpacing/>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6"/>
        <w:contextualSpacing/>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 方</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乙方 </w:t>
      </w:r>
      <w:r/>
    </w:p>
    <w:p>
      <w:pPr>
        <w:pStyle w:val="926"/>
        <w:contextualSpacing/>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单位签章： </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                                  单位签章： </w:t>
      </w:r>
      <w:r/>
    </w:p>
    <w:p>
      <w:pPr>
        <w:pStyle w:val="926"/>
        <w:contextualSpacing/>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单位地址：                                      单位地址：</w:t>
      </w:r>
      <w:r/>
    </w:p>
    <w:p>
      <w:pPr>
        <w:pStyle w:val="926"/>
        <w:contextualSpacing/>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 </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                                  开户银行：</w:t>
      </w:r>
      <w:r/>
    </w:p>
    <w:p>
      <w:pPr>
        <w:pStyle w:val="926"/>
        <w:contextualSpacing/>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银行账号</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银行账号</w:t>
      </w:r>
      <w:r>
        <w:rPr>
          <w:rFonts w:hint="eastAsia" w:ascii="宋体" w:hAnsi="宋体" w:eastAsia="宋体" w:cs="宋体"/>
          <w:color w:val="auto"/>
          <w:sz w:val="24"/>
          <w:szCs w:val="24"/>
          <w:highlight w:val="none"/>
        </w:rPr>
        <w:t xml:space="preserve">：</w:t>
      </w:r>
      <w:r/>
    </w:p>
    <w:p>
      <w:pPr>
        <w:pStyle w:val="926"/>
        <w:contextualSpacing/>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 系 人：                                      联 系 人：</w:t>
      </w:r>
      <w:r/>
    </w:p>
    <w:p>
      <w:pPr>
        <w:pStyle w:val="926"/>
        <w:contextualSpacing/>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联系电话：</w:t>
      </w:r>
      <w:r/>
    </w:p>
    <w:p>
      <w:pPr>
        <w:pStyle w:val="927"/>
        <w:ind w:left="0" w:firstLine="480"/>
        <w:keepLines w:val="0"/>
        <w:keepNext w:val="0"/>
        <w:pageBreakBefore w:val="0"/>
        <w:spacing w:after="0"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日期：   </w:t>
      </w:r>
      <w:r/>
    </w:p>
    <w:p>
      <w:pPr>
        <w:pStyle w:val="916"/>
        <w:jc w:val="center"/>
        <w:spacing w:beforeAutospacing="0" w:afterAutospacing="0" w:line="360" w:lineRule="auto"/>
        <w:rPr>
          <w:rFonts w:ascii="宋体" w:hAnsi="宋体" w:cs="宋体"/>
          <w:b/>
          <w:color w:val="auto"/>
          <w:sz w:val="24"/>
          <w:szCs w:val="24"/>
          <w:highlight w:val="none"/>
        </w:rPr>
        <w:sectPr>
          <w:headerReference w:type="default" r:id="rId10"/>
          <w:footerReference w:type="default" r:id="rId12"/>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b/>
          <w:color w:val="auto"/>
          <w:sz w:val="24"/>
          <w:szCs w:val="24"/>
          <w:highlight w:val="none"/>
        </w:rPr>
      </w:r>
      <w:r/>
    </w:p>
    <w:p>
      <w:pPr>
        <w:jc w:val="center"/>
        <w:spacing w:line="288" w:lineRule="auto"/>
        <w:rPr>
          <w:rFonts w:ascii="宋体" w:hAnsi="宋体" w:cs="宋体"/>
          <w:color w:val="auto"/>
          <w:sz w:val="28"/>
          <w:szCs w:val="28"/>
          <w:highlight w:val="none"/>
        </w:rPr>
      </w:pPr>
      <w:r>
        <w:rPr>
          <w:rFonts w:hint="eastAsia" w:ascii="宋体" w:hAnsi="宋体" w:cs="宋体"/>
          <w:b/>
          <w:color w:val="auto"/>
          <w:sz w:val="28"/>
          <w:szCs w:val="28"/>
          <w:highlight w:val="none"/>
        </w:rPr>
        <w:t xml:space="preserve">第六章 采购需求</w:t>
      </w:r>
      <w:bookmarkStart w:id="1" w:name="_Toc324452802"/>
      <w:r/>
      <w:bookmarkEnd w:id="1"/>
      <w:r/>
      <w:bookmarkStart w:id="2" w:name="_Toc322457054"/>
      <w:r/>
      <w:bookmarkEnd w:id="2"/>
      <w:r/>
      <w:r/>
    </w:p>
    <w:p>
      <w:pPr>
        <w:rPr>
          <w:rStyle w:val="933"/>
          <w:rFonts w:ascii="宋体" w:hAnsi="宋体" w:eastAsia="宋体" w:cs="宋体"/>
          <w:b/>
          <w:bCs/>
          <w:color w:val="auto"/>
          <w:sz w:val="21"/>
          <w:szCs w:val="24"/>
          <w:highlight w:val="none"/>
        </w:rPr>
      </w:pPr>
      <w:r>
        <w:rPr>
          <w:rFonts w:ascii="宋体" w:hAnsi="宋体" w:eastAsia="宋体" w:cs="宋体"/>
          <w:b/>
          <w:bCs/>
          <w:color w:val="auto"/>
          <w:sz w:val="21"/>
          <w:szCs w:val="24"/>
          <w:highlight w:val="none"/>
        </w:rPr>
      </w:r>
      <w:r/>
    </w:p>
    <w:p>
      <w:pPr>
        <w:ind w:right="0"/>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一、项目说明</w:t>
      </w:r>
      <w:r/>
    </w:p>
    <w:p>
      <w:pPr>
        <w:ind w:right="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1、采购人：</w:t>
      </w:r>
      <w:r>
        <w:rPr>
          <w:rFonts w:hint="eastAsia" w:ascii="宋体" w:hAnsi="宋体" w:eastAsia="宋体" w:cs="宋体"/>
          <w:bCs/>
          <w:color w:val="auto"/>
          <w:sz w:val="24"/>
          <w:szCs w:val="24"/>
          <w:highlight w:val="none"/>
          <w:lang w:eastAsia="zh-CN"/>
        </w:rPr>
        <w:t xml:space="preserve">徐州市第一人民医院</w:t>
      </w:r>
      <w:r>
        <w:rPr>
          <w:rFonts w:hint="eastAsia" w:ascii="宋体" w:hAnsi="宋体" w:eastAsia="宋体" w:cs="宋体"/>
          <w:bCs/>
          <w:color w:val="auto"/>
          <w:sz w:val="24"/>
          <w:szCs w:val="24"/>
          <w:highlight w:val="none"/>
        </w:rPr>
        <w:t xml:space="preserve">。</w:t>
      </w:r>
      <w:r/>
    </w:p>
    <w:p>
      <w:pPr>
        <w:ind w:right="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2、采购项目名称：</w:t>
      </w:r>
      <w:r>
        <w:rPr>
          <w:rFonts w:hint="eastAsia" w:ascii="宋体" w:hAnsi="宋体" w:eastAsia="宋体" w:cs="宋体"/>
          <w:bCs/>
          <w:color w:val="auto"/>
          <w:sz w:val="24"/>
          <w:szCs w:val="24"/>
          <w:highlight w:val="none"/>
          <w:lang w:eastAsia="zh-CN"/>
        </w:rPr>
        <w:t xml:space="preserve">徐州市第一人民医院</w:t>
      </w:r>
      <w:r>
        <w:rPr>
          <w:rFonts w:hint="eastAsia" w:ascii="宋体" w:hAnsi="宋体" w:cs="宋体"/>
          <w:bCs/>
          <w:color w:val="auto"/>
          <w:sz w:val="24"/>
          <w:szCs w:val="24"/>
          <w:highlight w:val="none"/>
          <w:lang w:eastAsia="zh-CN"/>
        </w:rPr>
        <w:t xml:space="preserve">食堂</w:t>
      </w:r>
      <w:r>
        <w:rPr>
          <w:rFonts w:hint="eastAsia" w:ascii="宋体" w:hAnsi="宋体" w:eastAsia="宋体" w:cs="宋体"/>
          <w:bCs/>
          <w:color w:val="auto"/>
          <w:sz w:val="24"/>
          <w:szCs w:val="24"/>
          <w:highlight w:val="none"/>
          <w:lang w:eastAsia="zh-CN"/>
        </w:rPr>
        <w:t xml:space="preserve">原材料采购</w:t>
      </w:r>
      <w:r>
        <w:rPr>
          <w:rFonts w:hint="eastAsia" w:ascii="宋体" w:hAnsi="宋体" w:eastAsia="宋体" w:cs="宋体"/>
          <w:bCs/>
          <w:color w:val="auto"/>
          <w:sz w:val="24"/>
          <w:szCs w:val="24"/>
          <w:highlight w:val="none"/>
        </w:rPr>
        <w:t xml:space="preserve">。</w:t>
      </w:r>
      <w:r/>
    </w:p>
    <w:p>
      <w:pPr>
        <w:ind w:right="0"/>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color w:val="auto"/>
          <w:sz w:val="24"/>
          <w:szCs w:val="24"/>
          <w:highlight w:val="none"/>
          <w:lang w:eastAsia="zh-CN"/>
        </w:rPr>
        <w:t xml:space="preserve">医院食堂各类食材及用品采购</w:t>
      </w:r>
      <w:r>
        <w:rPr>
          <w:rFonts w:hint="eastAsia" w:ascii="宋体" w:hAnsi="宋体" w:eastAsia="宋体" w:cs="宋体"/>
          <w:color w:val="auto"/>
          <w:sz w:val="24"/>
          <w:szCs w:val="24"/>
          <w:highlight w:val="none"/>
        </w:rPr>
        <w:t xml:space="preserve">项目对应的中小企业划分标准所属行业为</w:t>
      </w:r>
      <w:r>
        <w:rPr>
          <w:rFonts w:hint="eastAsia" w:ascii="宋体" w:hAnsi="宋体" w:eastAsia="宋体" w:cs="宋体"/>
          <w:b/>
          <w:bCs/>
          <w:color w:val="auto"/>
          <w:sz w:val="24"/>
          <w:szCs w:val="24"/>
          <w:highlight w:val="none"/>
        </w:rPr>
        <w:t xml:space="preserve">批发业</w:t>
      </w:r>
      <w:r>
        <w:rPr>
          <w:rFonts w:hint="eastAsia" w:ascii="宋体" w:hAnsi="宋体" w:eastAsia="宋体" w:cs="宋体"/>
          <w:color w:val="auto"/>
          <w:sz w:val="24"/>
          <w:szCs w:val="24"/>
          <w:highlight w:val="none"/>
        </w:rPr>
        <w:t xml:space="preserve">。</w:t>
      </w:r>
      <w:r/>
    </w:p>
    <w:p>
      <w:pPr>
        <w:ind w:righ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注：中小企业划分标准所属行业以《工业和信息化部、国家统计局、国家发展和改革委员会、财政部关于印发中小企业划型标准规定的通知》（工信部联企业[2011]300号）的规定为准。</w:t>
      </w:r>
      <w:r/>
    </w:p>
    <w:p>
      <w:pPr>
        <w:numPr>
          <w:ilvl w:val="0"/>
          <w:numId w:val="0"/>
        </w:numPr>
        <w:ind w:right="0"/>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本项目是属于专门面向中小微企业采购的项目，提供的服务全部由符合政策要求的中小微企业承接。投标人应为中小微企业、监狱企业、残疾人福利性单位。</w:t>
      </w:r>
      <w:r>
        <w:rPr>
          <w:rFonts w:hint="eastAsia" w:ascii="宋体" w:hAnsi="宋体" w:eastAsia="宋体" w:cs="宋体"/>
          <w:b/>
          <w:color w:val="auto"/>
          <w:sz w:val="24"/>
          <w:szCs w:val="24"/>
          <w:highlight w:val="none"/>
        </w:rPr>
        <w:t xml:space="preserve"> </w:t>
      </w:r>
      <w:r/>
    </w:p>
    <w:p>
      <w:pPr>
        <w:numPr>
          <w:ilvl w:val="0"/>
          <w:numId w:val="0"/>
        </w:numPr>
        <w:ind w:right="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eastAsia="zh-CN"/>
        </w:rPr>
        <w:t xml:space="preserve">本项目以优惠率（%）进行报价</w:t>
      </w:r>
      <w:r>
        <w:rPr>
          <w:rFonts w:hint="eastAsia" w:ascii="宋体" w:hAnsi="宋体" w:eastAsia="宋体" w:cs="宋体"/>
          <w:b/>
          <w:bCs/>
          <w:color w:val="auto"/>
          <w:sz w:val="24"/>
          <w:szCs w:val="24"/>
          <w:highlight w:val="none"/>
        </w:rPr>
        <w:t xml:space="preserve">。</w:t>
      </w:r>
      <w:r/>
    </w:p>
    <w:p>
      <w:pPr>
        <w:numPr>
          <w:ilvl w:val="0"/>
          <w:numId w:val="0"/>
        </w:numPr>
        <w:ind w:right="0"/>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rPr>
        <w:t xml:space="preserve">采购包划分：</w:t>
      </w:r>
      <w:r/>
    </w:p>
    <w:p>
      <w:pPr>
        <w:numPr>
          <w:ilvl w:val="0"/>
          <w:numId w:val="0"/>
        </w:numPr>
        <w:ind w:right="0"/>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本项目总的预算金额为</w:t>
      </w:r>
      <w:r>
        <w:rPr>
          <w:rFonts w:hint="eastAsia" w:ascii="宋体" w:hAnsi="宋体" w:eastAsia="宋体" w:cs="宋体"/>
          <w:b/>
          <w:color w:val="auto"/>
          <w:sz w:val="24"/>
          <w:szCs w:val="24"/>
          <w:highlight w:val="none"/>
          <w:lang w:val="en-US" w:eastAsia="zh-CN"/>
        </w:rPr>
        <w:t xml:space="preserve">220</w:t>
      </w:r>
      <w:r>
        <w:rPr>
          <w:rFonts w:hint="eastAsia" w:ascii="宋体" w:hAnsi="宋体" w:eastAsia="宋体" w:cs="宋体"/>
          <w:b/>
          <w:color w:val="auto"/>
          <w:sz w:val="24"/>
          <w:szCs w:val="24"/>
          <w:highlight w:val="none"/>
        </w:rPr>
        <w:t xml:space="preserve">.00万元</w:t>
      </w:r>
      <w:r>
        <w:rPr>
          <w:rFonts w:hint="eastAsia" w:ascii="宋体" w:hAnsi="宋体" w:eastAsia="宋体" w:cs="宋体"/>
          <w:b/>
          <w:color w:val="auto"/>
          <w:sz w:val="24"/>
          <w:szCs w:val="24"/>
          <w:highlight w:val="none"/>
          <w:lang w:val="en-US" w:eastAsia="zh-CN"/>
        </w:rPr>
        <w:t xml:space="preserve">/年</w:t>
      </w:r>
      <w:r>
        <w:rPr>
          <w:rFonts w:hint="eastAsia" w:ascii="宋体" w:hAnsi="宋体" w:eastAsia="宋体" w:cs="宋体"/>
          <w:b/>
          <w:color w:val="auto"/>
          <w:sz w:val="24"/>
          <w:szCs w:val="24"/>
          <w:highlight w:val="none"/>
        </w:rPr>
        <w:t xml:space="preserve">，共分为</w:t>
      </w:r>
      <w:r>
        <w:rPr>
          <w:rFonts w:hint="eastAsia" w:ascii="宋体" w:hAnsi="宋体" w:eastAsia="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rPr>
        <w:t xml:space="preserve">个采购包</w:t>
      </w:r>
      <w:r/>
    </w:p>
    <w:p>
      <w:pPr>
        <w:numPr>
          <w:ilvl w:val="0"/>
          <w:numId w:val="0"/>
        </w:numPr>
        <w:ind w:right="0"/>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采购包1：</w:t>
      </w:r>
      <w:r>
        <w:rPr>
          <w:rFonts w:hint="eastAsia" w:ascii="宋体" w:hAnsi="宋体" w:eastAsia="宋体" w:cs="宋体"/>
          <w:b/>
          <w:color w:val="auto"/>
          <w:sz w:val="24"/>
          <w:szCs w:val="24"/>
          <w:highlight w:val="none"/>
          <w:lang w:val="en-US" w:eastAsia="zh-CN"/>
        </w:rPr>
        <w:t xml:space="preserve">大米</w:t>
      </w:r>
      <w:r>
        <w:rPr>
          <w:rFonts w:hint="eastAsia" w:ascii="宋体" w:hAnsi="宋体" w:eastAsia="宋体" w:cs="宋体"/>
          <w:b/>
          <w:color w:val="auto"/>
          <w:sz w:val="24"/>
          <w:szCs w:val="24"/>
          <w:highlight w:val="none"/>
        </w:rPr>
        <w:t xml:space="preserve">，供应量约</w:t>
      </w:r>
      <w:r>
        <w:rPr>
          <w:rFonts w:hint="eastAsia" w:ascii="宋体" w:hAnsi="宋体" w:eastAsia="宋体" w:cs="宋体"/>
          <w:b/>
          <w:color w:val="auto"/>
          <w:sz w:val="24"/>
          <w:szCs w:val="24"/>
          <w:highlight w:val="none"/>
          <w:lang w:val="en-US" w:eastAsia="zh-CN"/>
        </w:rPr>
        <w:t xml:space="preserve">30.00</w:t>
      </w:r>
      <w:r>
        <w:rPr>
          <w:rFonts w:hint="eastAsia" w:ascii="宋体" w:hAnsi="宋体" w:eastAsia="宋体" w:cs="宋体"/>
          <w:b/>
          <w:color w:val="auto"/>
          <w:sz w:val="24"/>
          <w:szCs w:val="24"/>
          <w:highlight w:val="none"/>
        </w:rPr>
        <w:t xml:space="preserve">万元/年；</w:t>
      </w:r>
      <w:r/>
    </w:p>
    <w:p>
      <w:pPr>
        <w:numPr>
          <w:ilvl w:val="0"/>
          <w:numId w:val="0"/>
        </w:numPr>
        <w:ind w:right="0"/>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采购包2：</w:t>
      </w:r>
      <w:r>
        <w:rPr>
          <w:rFonts w:hint="eastAsia" w:ascii="宋体" w:hAnsi="宋体" w:eastAsia="宋体" w:cs="宋体"/>
          <w:b/>
          <w:color w:val="auto"/>
          <w:sz w:val="24"/>
          <w:szCs w:val="24"/>
          <w:highlight w:val="none"/>
          <w:lang w:val="en-US" w:eastAsia="zh-CN"/>
        </w:rPr>
        <w:t xml:space="preserve">面粉</w:t>
      </w:r>
      <w:r>
        <w:rPr>
          <w:rFonts w:hint="eastAsia" w:ascii="宋体" w:hAnsi="宋体" w:eastAsia="宋体" w:cs="宋体"/>
          <w:b/>
          <w:color w:val="auto"/>
          <w:sz w:val="24"/>
          <w:szCs w:val="24"/>
          <w:highlight w:val="none"/>
        </w:rPr>
        <w:t xml:space="preserve">，供应量约</w:t>
      </w:r>
      <w:r>
        <w:rPr>
          <w:rFonts w:hint="eastAsia" w:ascii="宋体" w:hAnsi="宋体" w:eastAsia="宋体" w:cs="宋体"/>
          <w:b/>
          <w:color w:val="auto"/>
          <w:sz w:val="24"/>
          <w:szCs w:val="24"/>
          <w:highlight w:val="none"/>
          <w:lang w:val="en-US" w:eastAsia="zh-CN"/>
        </w:rPr>
        <w:t xml:space="preserve">70.00</w:t>
      </w:r>
      <w:r>
        <w:rPr>
          <w:rFonts w:hint="eastAsia" w:ascii="宋体" w:hAnsi="宋体" w:eastAsia="宋体" w:cs="宋体"/>
          <w:b/>
          <w:color w:val="auto"/>
          <w:sz w:val="24"/>
          <w:szCs w:val="24"/>
          <w:highlight w:val="none"/>
        </w:rPr>
        <w:t xml:space="preserve">万元/年；</w:t>
      </w:r>
      <w:r/>
    </w:p>
    <w:p>
      <w:pPr>
        <w:numPr>
          <w:ilvl w:val="0"/>
          <w:numId w:val="0"/>
        </w:numPr>
        <w:ind w:right="0"/>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采购包3：</w:t>
      </w:r>
      <w:r>
        <w:rPr>
          <w:rFonts w:hint="eastAsia" w:ascii="宋体" w:hAnsi="宋体" w:eastAsia="宋体" w:cs="宋体"/>
          <w:b/>
          <w:color w:val="auto"/>
          <w:sz w:val="24"/>
          <w:szCs w:val="24"/>
          <w:highlight w:val="none"/>
          <w:lang w:val="en-US" w:eastAsia="zh-CN"/>
        </w:rPr>
        <w:t xml:space="preserve">食用油</w:t>
      </w:r>
      <w:r>
        <w:rPr>
          <w:rFonts w:hint="eastAsia" w:ascii="宋体" w:hAnsi="宋体" w:eastAsia="宋体" w:cs="宋体"/>
          <w:b/>
          <w:color w:val="auto"/>
          <w:sz w:val="24"/>
          <w:szCs w:val="24"/>
          <w:highlight w:val="none"/>
        </w:rPr>
        <w:t xml:space="preserve">，供应量约</w:t>
      </w:r>
      <w:r>
        <w:rPr>
          <w:rFonts w:hint="eastAsia" w:ascii="宋体" w:hAnsi="宋体" w:eastAsia="宋体" w:cs="宋体"/>
          <w:b/>
          <w:color w:val="auto"/>
          <w:sz w:val="24"/>
          <w:szCs w:val="24"/>
          <w:highlight w:val="none"/>
          <w:lang w:val="en-US" w:eastAsia="zh-CN"/>
        </w:rPr>
        <w:t xml:space="preserve">30.00</w:t>
      </w:r>
      <w:r>
        <w:rPr>
          <w:rFonts w:hint="eastAsia" w:ascii="宋体" w:hAnsi="宋体" w:eastAsia="宋体" w:cs="宋体"/>
          <w:b/>
          <w:color w:val="auto"/>
          <w:sz w:val="24"/>
          <w:szCs w:val="24"/>
          <w:highlight w:val="none"/>
        </w:rPr>
        <w:t xml:space="preserve">万元/年；</w:t>
      </w:r>
      <w:r/>
    </w:p>
    <w:p>
      <w:pPr>
        <w:numPr>
          <w:ilvl w:val="0"/>
          <w:numId w:val="0"/>
        </w:numPr>
        <w:ind w:right="0"/>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 xml:space="preserve">采购包</w:t>
      </w:r>
      <w:r>
        <w:rPr>
          <w:rFonts w:hint="eastAsia" w:ascii="宋体" w:hAnsi="宋体" w:eastAsia="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调味品</w:t>
      </w:r>
      <w:r>
        <w:rPr>
          <w:rFonts w:hint="eastAsia" w:ascii="宋体" w:hAnsi="宋体" w:cs="宋体"/>
          <w:b/>
          <w:color w:val="auto"/>
          <w:sz w:val="24"/>
          <w:szCs w:val="24"/>
          <w:highlight w:val="none"/>
          <w:lang w:val="en-US" w:eastAsia="zh-CN"/>
        </w:rPr>
        <w:t xml:space="preserve">（含干货）</w:t>
      </w:r>
      <w:r>
        <w:rPr>
          <w:rFonts w:hint="eastAsia" w:ascii="宋体" w:hAnsi="宋体" w:eastAsia="宋体" w:cs="宋体"/>
          <w:b/>
          <w:color w:val="auto"/>
          <w:sz w:val="24"/>
          <w:szCs w:val="24"/>
          <w:highlight w:val="none"/>
        </w:rPr>
        <w:t xml:space="preserve">，供应量约</w:t>
      </w:r>
      <w:r>
        <w:rPr>
          <w:rFonts w:hint="eastAsia" w:ascii="宋体" w:hAnsi="宋体" w:eastAsia="宋体" w:cs="宋体"/>
          <w:b/>
          <w:color w:val="auto"/>
          <w:sz w:val="24"/>
          <w:szCs w:val="24"/>
          <w:highlight w:val="none"/>
          <w:lang w:val="en-US" w:eastAsia="zh-CN"/>
        </w:rPr>
        <w:t xml:space="preserve">90.00</w:t>
      </w:r>
      <w:r>
        <w:rPr>
          <w:rFonts w:hint="eastAsia" w:ascii="宋体" w:hAnsi="宋体" w:eastAsia="宋体" w:cs="宋体"/>
          <w:b/>
          <w:color w:val="auto"/>
          <w:sz w:val="24"/>
          <w:szCs w:val="24"/>
          <w:highlight w:val="none"/>
        </w:rPr>
        <w:t xml:space="preserve">万元/年；</w:t>
      </w:r>
      <w:r/>
    </w:p>
    <w:p>
      <w:pPr>
        <w:ind w:right="0"/>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注：</w:t>
      </w:r>
      <w:r/>
    </w:p>
    <w:p>
      <w:pPr>
        <w:ind w:right="0"/>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本项目共分为4个采购包。每个投标人可以同时参加本项目4个采购包的投标与评审，但每个投标人最多允许中1个采购包。若投标人已在前序采购包中推荐为第一中标候选人的，可继续参与后续采购包的评审，但不得再次中标，且不再推荐为后续采购包的中标候选人。各采购包中标候选人数量不得低于3个，否则该采购包按废标处理。</w:t>
      </w:r>
      <w:r/>
    </w:p>
    <w:p>
      <w:pPr>
        <w:ind w:right="0"/>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2、上述采购预算为年估算量，采购人不承诺实际供应金额，投标人在投标报价时须自行考虑相关风险。</w:t>
      </w:r>
      <w:r/>
    </w:p>
    <w:p>
      <w:pPr>
        <w:ind w:righ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 xml:space="preserve">三、食材要求</w:t>
      </w:r>
      <w:r/>
    </w:p>
    <w:p>
      <w:pPr>
        <w:pStyle w:val="909"/>
        <w:ind w:left="0" w:right="0" w:firstLine="0"/>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采购包</w:t>
      </w:r>
      <w:r>
        <w:rPr>
          <w:rFonts w:hint="eastAsia" w:ascii="宋体" w:hAnsi="宋体" w:eastAsia="宋体" w:cs="宋体"/>
          <w:b/>
          <w:bCs/>
          <w:color w:val="auto"/>
          <w:sz w:val="24"/>
          <w:szCs w:val="24"/>
          <w:highlight w:val="none"/>
          <w:lang w:val="en-US" w:eastAsia="zh-CN"/>
        </w:rPr>
        <w:t xml:space="preserve">1：大米：</w:t>
      </w:r>
      <w:r/>
    </w:p>
    <w:p>
      <w:pPr>
        <w:pStyle w:val="909"/>
        <w:ind w:left="0" w:right="0" w:firstLine="0"/>
        <w:keepLines w:val="0"/>
        <w:keepNext w:val="0"/>
        <w:pageBreakBefore w:val="0"/>
        <w:spacing w:after="0"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val="0"/>
          <w:bCs w:val="0"/>
          <w:color w:val="auto"/>
          <w:sz w:val="24"/>
          <w:szCs w:val="24"/>
          <w:highlight w:val="none"/>
        </w:rPr>
        <w:t xml:space="preserve">食堂</w:t>
      </w:r>
      <w:r>
        <w:rPr>
          <w:rFonts w:hint="eastAsia" w:ascii="宋体" w:hAnsi="宋体" w:eastAsia="宋体" w:cs="宋体"/>
          <w:b w:val="0"/>
          <w:bCs w:val="0"/>
          <w:color w:val="auto"/>
          <w:sz w:val="24"/>
          <w:szCs w:val="24"/>
          <w:highlight w:val="none"/>
          <w:lang w:val="en-US" w:eastAsia="zh-CN"/>
        </w:rPr>
        <w:t xml:space="preserve">供应</w:t>
      </w:r>
      <w:r>
        <w:rPr>
          <w:rFonts w:hint="eastAsia" w:ascii="宋体" w:hAnsi="宋体" w:eastAsia="宋体" w:cs="宋体"/>
          <w:b w:val="0"/>
          <w:bCs w:val="0"/>
          <w:color w:val="auto"/>
          <w:sz w:val="24"/>
          <w:szCs w:val="24"/>
          <w:highlight w:val="none"/>
        </w:rPr>
        <w:t xml:space="preserve">的大米</w:t>
      </w:r>
      <w:r>
        <w:rPr>
          <w:rFonts w:hint="eastAsia" w:ascii="宋体" w:hAnsi="宋体" w:eastAsia="宋体" w:cs="宋体"/>
          <w:b w:val="0"/>
          <w:bCs w:val="0"/>
          <w:color w:val="auto"/>
          <w:sz w:val="24"/>
          <w:szCs w:val="24"/>
          <w:highlight w:val="none"/>
          <w:lang w:val="en-US" w:eastAsia="zh-CN"/>
        </w:rPr>
        <w:t xml:space="preserve">要求为25kg/袋，质量</w:t>
      </w:r>
      <w:r>
        <w:rPr>
          <w:rFonts w:hint="eastAsia" w:ascii="宋体" w:hAnsi="宋体" w:eastAsia="宋体" w:cs="宋体"/>
          <w:b w:val="0"/>
          <w:bCs w:val="0"/>
          <w:color w:val="auto"/>
          <w:sz w:val="24"/>
          <w:szCs w:val="24"/>
          <w:highlight w:val="none"/>
        </w:rPr>
        <w:t xml:space="preserve">必须符合现行国家标准或国内行业标准，</w:t>
      </w:r>
      <w:r>
        <w:rPr>
          <w:rFonts w:hint="eastAsia" w:ascii="宋体" w:hAnsi="宋体" w:eastAsia="宋体" w:cs="宋体"/>
          <w:b w:val="0"/>
          <w:bCs w:val="0"/>
          <w:color w:val="auto"/>
          <w:sz w:val="24"/>
          <w:szCs w:val="24"/>
          <w:highlight w:val="none"/>
        </w:rPr>
        <w:t xml:space="preserve">并具有食品质量安全认证，</w:t>
      </w:r>
      <w:r>
        <w:rPr>
          <w:rFonts w:hint="eastAsia" w:ascii="宋体" w:hAnsi="宋体" w:eastAsia="宋体" w:cs="宋体"/>
          <w:b w:val="0"/>
          <w:bCs w:val="0"/>
          <w:color w:val="auto"/>
          <w:sz w:val="24"/>
          <w:szCs w:val="24"/>
          <w:highlight w:val="none"/>
          <w:lang w:val="en-US" w:eastAsia="zh-CN"/>
        </w:rPr>
        <w:t xml:space="preserve">符合</w:t>
      </w:r>
      <w:r>
        <w:rPr>
          <w:rFonts w:hint="eastAsia" w:ascii="宋体" w:hAnsi="宋体" w:eastAsia="宋体" w:cs="宋体"/>
          <w:b w:val="0"/>
          <w:bCs w:val="0"/>
          <w:color w:val="auto"/>
          <w:sz w:val="24"/>
          <w:szCs w:val="24"/>
          <w:highlight w:val="none"/>
        </w:rPr>
        <w:t xml:space="preserve">《食品生产许可管理办法》</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正规品牌大米，颗粒均匀饱满、表面光洁、有光泽、色泽正常白粒少、有天然清香。</w:t>
      </w:r>
      <w:r/>
    </w:p>
    <w:p>
      <w:pPr>
        <w:pStyle w:val="910"/>
        <w:ind w:right="0"/>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 xml:space="preserve">采购包2：</w:t>
      </w:r>
      <w:r>
        <w:rPr>
          <w:rFonts w:hint="eastAsia" w:ascii="宋体" w:hAnsi="宋体" w:eastAsia="宋体" w:cs="宋体"/>
          <w:b/>
          <w:color w:val="auto"/>
          <w:sz w:val="24"/>
          <w:szCs w:val="24"/>
          <w:highlight w:val="none"/>
          <w:lang w:val="en-US" w:eastAsia="zh-CN"/>
        </w:rPr>
        <w:t xml:space="preserve">面粉：</w:t>
      </w:r>
      <w:r/>
    </w:p>
    <w:p>
      <w:pPr>
        <w:pStyle w:val="910"/>
        <w:ind w:right="0"/>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1、小麦面粉：正规品牌，要求为25kg/袋，面粉色泽呈白色或微黄色、无杂质、无异味，并具有食品质量安全认证，</w:t>
      </w:r>
      <w:r>
        <w:rPr>
          <w:rFonts w:hint="eastAsia" w:ascii="宋体" w:hAnsi="宋体" w:eastAsia="宋体" w:cs="宋体"/>
          <w:b w:val="0"/>
          <w:bCs w:val="0"/>
          <w:color w:val="auto"/>
          <w:sz w:val="24"/>
          <w:szCs w:val="24"/>
          <w:highlight w:val="none"/>
          <w:lang w:val="en-US" w:eastAsia="zh-CN"/>
        </w:rPr>
        <w:t xml:space="preserve">符合</w:t>
      </w:r>
      <w:r>
        <w:rPr>
          <w:rFonts w:hint="eastAsia" w:ascii="宋体" w:hAnsi="宋体" w:eastAsia="宋体" w:cs="宋体"/>
          <w:b w:val="0"/>
          <w:bCs w:val="0"/>
          <w:color w:val="auto"/>
          <w:sz w:val="24"/>
          <w:szCs w:val="24"/>
          <w:highlight w:val="none"/>
        </w:rPr>
        <w:t xml:space="preserve">《食品生产许可管理办法》</w:t>
      </w:r>
      <w:r>
        <w:rPr>
          <w:rFonts w:hint="eastAsia" w:ascii="宋体" w:hAnsi="宋体" w:eastAsia="宋体" w:cs="宋体"/>
          <w:b w:val="0"/>
          <w:bCs/>
          <w:color w:val="auto"/>
          <w:sz w:val="24"/>
          <w:szCs w:val="24"/>
          <w:highlight w:val="none"/>
          <w:lang w:val="en-US" w:eastAsia="zh-CN"/>
        </w:rPr>
        <w:t xml:space="preserve">。</w:t>
      </w:r>
      <w:r/>
    </w:p>
    <w:p>
      <w:pPr>
        <w:pStyle w:val="910"/>
        <w:ind w:right="0"/>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2、杂粮面粉：正规品牌，要求为25kg/袋，闻起来有面香而无其它异味，色泽自然，不沾手，无虫蛀、无霉变、无杂质。</w:t>
      </w:r>
      <w:r/>
    </w:p>
    <w:p>
      <w:pPr>
        <w:pStyle w:val="910"/>
        <w:ind w:right="0"/>
        <w:keepLines w:val="0"/>
        <w:keepNext w:val="0"/>
        <w:pageBreakBefore w:val="0"/>
        <w:spacing w:line="36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color w:val="auto"/>
          <w:sz w:val="24"/>
          <w:szCs w:val="24"/>
          <w:highlight w:val="none"/>
        </w:rPr>
        <w:t xml:space="preserve">采购包3：</w:t>
      </w:r>
      <w:r>
        <w:rPr>
          <w:rFonts w:hint="eastAsia" w:ascii="宋体" w:hAnsi="宋体" w:eastAsia="宋体" w:cs="宋体"/>
          <w:b/>
          <w:color w:val="auto"/>
          <w:sz w:val="24"/>
          <w:szCs w:val="24"/>
          <w:highlight w:val="none"/>
          <w:lang w:val="en-US" w:eastAsia="zh-CN"/>
        </w:rPr>
        <w:t xml:space="preserve">食用油：</w:t>
      </w:r>
      <w:r>
        <w:rPr>
          <w:rFonts w:hint="eastAsia" w:ascii="宋体" w:hAnsi="宋体" w:eastAsia="宋体" w:cs="宋体"/>
          <w:b w:val="0"/>
          <w:bCs/>
          <w:color w:val="auto"/>
          <w:sz w:val="24"/>
          <w:szCs w:val="24"/>
          <w:highlight w:val="none"/>
          <w:lang w:val="en-US" w:eastAsia="zh-CN"/>
        </w:rPr>
        <w:t xml:space="preserve">20L/桶，</w:t>
      </w:r>
      <w:r>
        <w:rPr>
          <w:rFonts w:hint="eastAsia" w:ascii="宋体" w:hAnsi="宋体" w:eastAsia="宋体" w:cs="宋体"/>
          <w:color w:val="auto"/>
          <w:sz w:val="24"/>
          <w:szCs w:val="24"/>
          <w:highlight w:val="none"/>
        </w:rPr>
        <w:t xml:space="preserve">食用油必须符合现行国家标准或国内行业标准，并具有食品质量安全认证，</w:t>
      </w:r>
      <w:r>
        <w:rPr>
          <w:rFonts w:hint="eastAsia" w:ascii="宋体" w:hAnsi="宋体" w:eastAsia="宋体" w:cs="宋体"/>
          <w:b w:val="0"/>
          <w:bCs w:val="0"/>
          <w:color w:val="auto"/>
          <w:sz w:val="24"/>
          <w:szCs w:val="24"/>
          <w:highlight w:val="none"/>
          <w:lang w:val="en-US" w:eastAsia="zh-CN"/>
        </w:rPr>
        <w:t xml:space="preserve">符合</w:t>
      </w:r>
      <w:r>
        <w:rPr>
          <w:rFonts w:hint="eastAsia" w:ascii="宋体" w:hAnsi="宋体" w:eastAsia="宋体" w:cs="宋体"/>
          <w:b w:val="0"/>
          <w:bCs w:val="0"/>
          <w:color w:val="auto"/>
          <w:sz w:val="24"/>
          <w:szCs w:val="24"/>
          <w:highlight w:val="none"/>
        </w:rPr>
        <w:t xml:space="preserve">《食品生产许可管理办法》</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color w:val="auto"/>
          <w:sz w:val="24"/>
          <w:szCs w:val="24"/>
          <w:highlight w:val="none"/>
        </w:rPr>
        <w:t xml:space="preserve">正规品牌，</w:t>
      </w:r>
      <w:r>
        <w:rPr>
          <w:rFonts w:hint="eastAsia" w:ascii="宋体" w:hAnsi="宋体" w:eastAsia="宋体" w:cs="宋体"/>
          <w:color w:val="auto"/>
          <w:sz w:val="24"/>
          <w:szCs w:val="24"/>
          <w:highlight w:val="none"/>
          <w:lang w:val="en-US" w:eastAsia="zh-CN"/>
        </w:rPr>
        <w:t xml:space="preserve">非转基因食用油，</w:t>
      </w:r>
      <w:r>
        <w:rPr>
          <w:rFonts w:hint="eastAsia" w:ascii="宋体" w:hAnsi="宋体" w:eastAsia="宋体" w:cs="宋体"/>
          <w:color w:val="auto"/>
          <w:sz w:val="24"/>
          <w:szCs w:val="24"/>
          <w:highlight w:val="none"/>
        </w:rPr>
        <w:t xml:space="preserve">油品清亮、无杂质、无沉淀物、常温不凝固。</w:t>
      </w:r>
      <w:r/>
    </w:p>
    <w:p>
      <w:pPr>
        <w:numPr>
          <w:ilvl w:val="0"/>
          <w:numId w:val="0"/>
        </w:numPr>
        <w:ind w:right="0"/>
        <w:keepLines w:val="0"/>
        <w:keepNext w:val="0"/>
        <w:pageBreakBefore w:val="0"/>
        <w:spacing w:line="360" w:lineRule="auto"/>
        <w:widowControl w:val="off"/>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 xml:space="preserve">采购包</w:t>
      </w:r>
      <w:r>
        <w:rPr>
          <w:rFonts w:hint="eastAsia" w:ascii="宋体" w:hAnsi="宋体" w:eastAsia="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调味品</w:t>
      </w:r>
      <w:r>
        <w:rPr>
          <w:rFonts w:hint="eastAsia" w:ascii="宋体" w:hAnsi="宋体" w:cs="宋体"/>
          <w:b/>
          <w:color w:val="auto"/>
          <w:sz w:val="24"/>
          <w:szCs w:val="24"/>
          <w:highlight w:val="none"/>
          <w:lang w:val="en-US" w:eastAsia="zh-CN"/>
        </w:rPr>
        <w:t xml:space="preserve">（含干货）</w:t>
      </w:r>
      <w:r>
        <w:rPr>
          <w:rFonts w:hint="eastAsia" w:ascii="宋体" w:hAnsi="宋体" w:eastAsia="宋体" w:cs="宋体"/>
          <w:b/>
          <w:color w:val="auto"/>
          <w:sz w:val="24"/>
          <w:szCs w:val="24"/>
          <w:highlight w:val="none"/>
          <w:lang w:eastAsia="zh-CN"/>
        </w:rPr>
        <w:t xml:space="preserve">：</w:t>
      </w:r>
      <w:r/>
    </w:p>
    <w:p>
      <w:pPr>
        <w:ind w:right="0"/>
        <w:keepLines w:val="0"/>
        <w:keepNext w:val="0"/>
        <w:pageBreakBefore w:val="0"/>
        <w:spacing w:line="360" w:lineRule="auto"/>
        <w:widowControl w:val="off"/>
        <w:tabs>
          <w:tab w:val="left" w:pos="0" w:leader="none"/>
          <w:tab w:val="left" w:pos="28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酱油、生抽：正规品牌，要求颜色为红褐色或棕褐色，鲜艳，有光泽，体态澄清，浓度适当，无沉淀物，香气丰富纯正。</w:t>
      </w:r>
      <w:r/>
    </w:p>
    <w:p>
      <w:pPr>
        <w:ind w:right="0"/>
        <w:keepLines w:val="0"/>
        <w:keepNext w:val="0"/>
        <w:pageBreakBefore w:val="0"/>
        <w:spacing w:line="360" w:lineRule="auto"/>
        <w:widowControl w:val="off"/>
        <w:tabs>
          <w:tab w:val="left" w:pos="0" w:leader="none"/>
          <w:tab w:val="left" w:pos="28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老抽：正规品牌，颜色呈焦糖色，很深，呈棕褐色，有光泽；味感鲜美微甜。</w:t>
      </w:r>
      <w:r/>
    </w:p>
    <w:p>
      <w:pPr>
        <w:ind w:right="0"/>
        <w:keepLines w:val="0"/>
        <w:keepNext w:val="0"/>
        <w:pageBreakBefore w:val="0"/>
        <w:spacing w:line="360" w:lineRule="auto"/>
        <w:widowControl w:val="off"/>
        <w:tabs>
          <w:tab w:val="left" w:pos="0" w:leader="none"/>
          <w:tab w:val="left" w:pos="28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醋：正规品牌，陈醋或米醋，陈醋颜色为琥珀色或红棕色，有光泽，体态澄清，浓度适中，无悬浮物或沉淀。米醋为透明玫瑰色或浅黄色的外观，液体清澈透明，无悬浮物和沉淀物。</w:t>
      </w:r>
      <w:r/>
    </w:p>
    <w:p>
      <w:pPr>
        <w:ind w:right="0"/>
        <w:keepLines w:val="0"/>
        <w:keepNext w:val="0"/>
        <w:pageBreakBefore w:val="0"/>
        <w:spacing w:line="360" w:lineRule="auto"/>
        <w:widowControl w:val="off"/>
        <w:tabs>
          <w:tab w:val="left" w:pos="0" w:leader="none"/>
          <w:tab w:val="left" w:pos="28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食用淀粉：淀粉有一定光泽；干燥，手攥不应成团，有较好的分散性。</w:t>
      </w:r>
      <w:r/>
    </w:p>
    <w:p>
      <w:pPr>
        <w:ind w:right="0"/>
        <w:keepLines w:val="0"/>
        <w:keepNext w:val="0"/>
        <w:pageBreakBefore w:val="0"/>
        <w:spacing w:line="360" w:lineRule="auto"/>
        <w:widowControl w:val="off"/>
        <w:tabs>
          <w:tab w:val="left" w:pos="0" w:leader="none"/>
          <w:tab w:val="left" w:pos="28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味精、鸡精：正规品牌，要求颗粒形状均匀，有光泽，颗粒间呈散料状态。</w:t>
      </w:r>
      <w:r/>
    </w:p>
    <w:p>
      <w:pPr>
        <w:ind w:right="0"/>
        <w:keepLines w:val="0"/>
        <w:keepNext w:val="0"/>
        <w:pageBreakBefore w:val="0"/>
        <w:spacing w:line="360" w:lineRule="auto"/>
        <w:widowControl w:val="off"/>
        <w:tabs>
          <w:tab w:val="left" w:pos="0" w:leader="none"/>
          <w:tab w:val="left" w:pos="28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料酒：正规品牌。</w:t>
      </w:r>
      <w:r/>
    </w:p>
    <w:p>
      <w:pPr>
        <w:ind w:right="0"/>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白糖：无受潮溶化、无异味、洁白有光泽，干燥，有较好的分散性，必须具有食品质量认证标志。质量标准符合现行国家标准要求。</w:t>
      </w:r>
      <w:r/>
    </w:p>
    <w:p>
      <w:pPr>
        <w:pStyle w:val="945"/>
        <w:ind w:left="0" w:righ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食用盐：正规品牌，要求颗粒形状均匀，有光泽，颗粒间呈散料状态。</w:t>
      </w:r>
      <w:r/>
    </w:p>
    <w:p>
      <w:pPr>
        <w:ind w:righ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耗油、香油：正规品牌，要求颜色为红褐色或棕褐色，鲜艳，有光泽，浓度适当，香气丰富纯正。</w:t>
      </w:r>
      <w:r/>
    </w:p>
    <w:p>
      <w:pPr>
        <w:ind w:right="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10、</w:t>
      </w:r>
      <w:r>
        <w:rPr>
          <w:rFonts w:hint="eastAsia" w:ascii="宋体" w:hAnsi="宋体" w:cs="宋体"/>
          <w:color w:val="auto"/>
          <w:sz w:val="24"/>
          <w:szCs w:val="24"/>
          <w:highlight w:val="none"/>
          <w:lang w:val="en-US" w:eastAsia="zh-CN"/>
        </w:rPr>
        <w:t xml:space="preserve">主要产品</w:t>
      </w:r>
      <w:r>
        <w:rPr>
          <w:rFonts w:hint="eastAsia" w:ascii="宋体" w:hAnsi="宋体" w:eastAsia="宋体" w:cs="宋体"/>
          <w:color w:val="auto"/>
          <w:sz w:val="24"/>
          <w:szCs w:val="24"/>
          <w:highlight w:val="none"/>
          <w:lang w:val="en-US" w:eastAsia="zh-CN"/>
        </w:rPr>
        <w:t xml:space="preserve">规格如下：</w:t>
      </w:r>
      <w:r/>
    </w:p>
    <w:tbl>
      <w:tblPr>
        <w:tblStyle w:val="91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258"/>
        <w:gridCol w:w="4258"/>
      </w:tblGrid>
      <w:tr>
        <w:trPr/>
        <w:tc>
          <w:tcPr>
            <w:tcW w:w="2500" w:type="pct"/>
            <w:textDirection w:val="lrTb"/>
            <w:noWrap w:val="false"/>
          </w:tcPr>
          <w:p>
            <w:pPr>
              <w:jc w:val="center"/>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 xml:space="preserve">产品名称</w:t>
            </w:r>
            <w:r/>
          </w:p>
        </w:tc>
        <w:tc>
          <w:tcPr>
            <w:tcW w:w="2500" w:type="pct"/>
            <w:textDirection w:val="lrTb"/>
            <w:noWrap w:val="false"/>
          </w:tcPr>
          <w:p>
            <w:pPr>
              <w:jc w:val="center"/>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 xml:space="preserve">规格</w:t>
            </w:r>
            <w:r/>
          </w:p>
        </w:tc>
      </w:tr>
      <w:tr>
        <w:trPr>
          <w:trHeight w:val="90"/>
        </w:trPr>
        <w:tc>
          <w:tcPr>
            <w:tcW w:w="2500" w:type="pct"/>
            <w:textDirection w:val="lrTb"/>
            <w:noWrap w:val="false"/>
          </w:tcPr>
          <w:p>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味精</w:t>
            </w:r>
            <w:r/>
          </w:p>
        </w:tc>
        <w:tc>
          <w:tcPr>
            <w:tcW w:w="2500" w:type="pct"/>
            <w:textDirection w:val="lrTb"/>
            <w:noWrap w:val="false"/>
          </w:tcPr>
          <w:p>
            <w:pPr>
              <w:jc w:val="center"/>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1kg</w:t>
            </w:r>
            <w:r>
              <w:rPr>
                <w:rFonts w:hint="eastAsia" w:ascii="宋体" w:hAnsi="宋体" w:cs="宋体"/>
                <w:color w:val="auto"/>
                <w:sz w:val="24"/>
                <w:szCs w:val="24"/>
                <w:highlight w:val="none"/>
                <w:vertAlign w:val="baseline"/>
                <w:lang w:val="en-US" w:eastAsia="zh-CN"/>
              </w:rPr>
              <w:t xml:space="preserve">（</w:t>
            </w:r>
            <w:r>
              <w:rPr>
                <w:rFonts w:hint="eastAsia" w:ascii="宋体" w:hAnsi="宋体" w:eastAsia="宋体" w:cs="宋体"/>
                <w:color w:val="auto"/>
                <w:sz w:val="24"/>
                <w:szCs w:val="24"/>
                <w:highlight w:val="none"/>
                <w:vertAlign w:val="baseline"/>
                <w:lang w:val="en-US" w:eastAsia="zh-CN"/>
              </w:rPr>
              <w:t xml:space="preserve">袋</w:t>
            </w:r>
            <w:r>
              <w:rPr>
                <w:rFonts w:hint="eastAsia" w:ascii="宋体" w:hAnsi="宋体" w:cs="宋体"/>
                <w:color w:val="auto"/>
                <w:sz w:val="24"/>
                <w:szCs w:val="24"/>
                <w:highlight w:val="none"/>
                <w:vertAlign w:val="baseline"/>
                <w:lang w:val="en-US" w:eastAsia="zh-CN"/>
              </w:rPr>
              <w:t xml:space="preserve">/桶/瓶）</w:t>
            </w:r>
            <w:r/>
          </w:p>
        </w:tc>
      </w:tr>
      <w:tr>
        <w:trPr/>
        <w:tc>
          <w:tcPr>
            <w:tcW w:w="2500" w:type="pct"/>
            <w:textDirection w:val="lrTb"/>
            <w:noWrap w:val="false"/>
          </w:tcPr>
          <w:p>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米醋</w:t>
            </w:r>
            <w:r/>
          </w:p>
        </w:tc>
        <w:tc>
          <w:tcPr>
            <w:tcW w:w="2500" w:type="pct"/>
            <w:textDirection w:val="lrTb"/>
            <w:noWrap w:val="false"/>
          </w:tcPr>
          <w:p>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1kg</w:t>
            </w:r>
            <w:r>
              <w:rPr>
                <w:rFonts w:hint="eastAsia" w:ascii="宋体" w:hAnsi="宋体" w:cs="宋体"/>
                <w:color w:val="auto"/>
                <w:sz w:val="24"/>
                <w:szCs w:val="24"/>
                <w:highlight w:val="none"/>
                <w:vertAlign w:val="baseline"/>
                <w:lang w:val="en-US" w:eastAsia="zh-CN"/>
              </w:rPr>
              <w:t xml:space="preserve">（</w:t>
            </w:r>
            <w:r>
              <w:rPr>
                <w:rFonts w:hint="eastAsia" w:ascii="宋体" w:hAnsi="宋体" w:eastAsia="宋体" w:cs="宋体"/>
                <w:color w:val="auto"/>
                <w:sz w:val="24"/>
                <w:szCs w:val="24"/>
                <w:highlight w:val="none"/>
                <w:vertAlign w:val="baseline"/>
                <w:lang w:val="en-US" w:eastAsia="zh-CN"/>
              </w:rPr>
              <w:t xml:space="preserve">袋</w:t>
            </w:r>
            <w:r>
              <w:rPr>
                <w:rFonts w:hint="eastAsia" w:ascii="宋体" w:hAnsi="宋体" w:cs="宋体"/>
                <w:color w:val="auto"/>
                <w:sz w:val="24"/>
                <w:szCs w:val="24"/>
                <w:highlight w:val="none"/>
                <w:vertAlign w:val="baseline"/>
                <w:lang w:val="en-US" w:eastAsia="zh-CN"/>
              </w:rPr>
              <w:t xml:space="preserve">/桶/瓶）</w:t>
            </w:r>
            <w:r/>
          </w:p>
        </w:tc>
      </w:tr>
      <w:tr>
        <w:trPr/>
        <w:tc>
          <w:tcPr>
            <w:tcW w:w="2500" w:type="pct"/>
            <w:textDirection w:val="lrTb"/>
            <w:noWrap w:val="false"/>
          </w:tcPr>
          <w:p>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料酒</w:t>
            </w:r>
            <w:r/>
          </w:p>
        </w:tc>
        <w:tc>
          <w:tcPr>
            <w:tcW w:w="2500" w:type="pct"/>
            <w:textDirection w:val="lrTb"/>
            <w:noWrap w:val="false"/>
          </w:tcPr>
          <w:p>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1kg</w:t>
            </w:r>
            <w:r>
              <w:rPr>
                <w:rFonts w:hint="eastAsia" w:ascii="宋体" w:hAnsi="宋体" w:cs="宋体"/>
                <w:color w:val="auto"/>
                <w:sz w:val="24"/>
                <w:szCs w:val="24"/>
                <w:highlight w:val="none"/>
                <w:vertAlign w:val="baseline"/>
                <w:lang w:val="en-US" w:eastAsia="zh-CN"/>
              </w:rPr>
              <w:t xml:space="preserve">（</w:t>
            </w:r>
            <w:r>
              <w:rPr>
                <w:rFonts w:hint="eastAsia" w:ascii="宋体" w:hAnsi="宋体" w:eastAsia="宋体" w:cs="宋体"/>
                <w:color w:val="auto"/>
                <w:sz w:val="24"/>
                <w:szCs w:val="24"/>
                <w:highlight w:val="none"/>
                <w:vertAlign w:val="baseline"/>
                <w:lang w:val="en-US" w:eastAsia="zh-CN"/>
              </w:rPr>
              <w:t xml:space="preserve">袋</w:t>
            </w:r>
            <w:r>
              <w:rPr>
                <w:rFonts w:hint="eastAsia" w:ascii="宋体" w:hAnsi="宋体" w:cs="宋体"/>
                <w:color w:val="auto"/>
                <w:sz w:val="24"/>
                <w:szCs w:val="24"/>
                <w:highlight w:val="none"/>
                <w:vertAlign w:val="baseline"/>
                <w:lang w:val="en-US" w:eastAsia="zh-CN"/>
              </w:rPr>
              <w:t xml:space="preserve">/桶/瓶）</w:t>
            </w:r>
            <w:r/>
          </w:p>
        </w:tc>
      </w:tr>
      <w:tr>
        <w:trPr/>
        <w:tc>
          <w:tcPr>
            <w:tcW w:w="2500" w:type="pct"/>
            <w:textDirection w:val="lrTb"/>
            <w:noWrap w:val="false"/>
          </w:tcPr>
          <w:p>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鸡精</w:t>
            </w:r>
            <w:r/>
          </w:p>
        </w:tc>
        <w:tc>
          <w:tcPr>
            <w:tcW w:w="2500" w:type="pct"/>
            <w:textDirection w:val="lrTb"/>
            <w:noWrap w:val="false"/>
          </w:tcPr>
          <w:p>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1kg</w:t>
            </w:r>
            <w:r>
              <w:rPr>
                <w:rFonts w:hint="eastAsia" w:ascii="宋体" w:hAnsi="宋体" w:cs="宋体"/>
                <w:color w:val="auto"/>
                <w:sz w:val="24"/>
                <w:szCs w:val="24"/>
                <w:highlight w:val="none"/>
                <w:vertAlign w:val="baseline"/>
                <w:lang w:val="en-US" w:eastAsia="zh-CN"/>
              </w:rPr>
              <w:t xml:space="preserve">（</w:t>
            </w:r>
            <w:r>
              <w:rPr>
                <w:rFonts w:hint="eastAsia" w:ascii="宋体" w:hAnsi="宋体" w:eastAsia="宋体" w:cs="宋体"/>
                <w:color w:val="auto"/>
                <w:sz w:val="24"/>
                <w:szCs w:val="24"/>
                <w:highlight w:val="none"/>
                <w:vertAlign w:val="baseline"/>
                <w:lang w:val="en-US" w:eastAsia="zh-CN"/>
              </w:rPr>
              <w:t xml:space="preserve">袋</w:t>
            </w:r>
            <w:r>
              <w:rPr>
                <w:rFonts w:hint="eastAsia" w:ascii="宋体" w:hAnsi="宋体" w:cs="宋体"/>
                <w:color w:val="auto"/>
                <w:sz w:val="24"/>
                <w:szCs w:val="24"/>
                <w:highlight w:val="none"/>
                <w:vertAlign w:val="baseline"/>
                <w:lang w:val="en-US" w:eastAsia="zh-CN"/>
              </w:rPr>
              <w:t xml:space="preserve">/桶/瓶）</w:t>
            </w:r>
            <w:r/>
          </w:p>
        </w:tc>
      </w:tr>
      <w:tr>
        <w:trPr/>
        <w:tc>
          <w:tcPr>
            <w:tcW w:w="2500" w:type="pct"/>
            <w:textDirection w:val="lrTb"/>
            <w:noWrap w:val="false"/>
          </w:tcPr>
          <w:p>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生抽</w:t>
            </w:r>
            <w:r/>
          </w:p>
        </w:tc>
        <w:tc>
          <w:tcPr>
            <w:tcW w:w="2500" w:type="pct"/>
            <w:textDirection w:val="lrTb"/>
            <w:noWrap w:val="false"/>
          </w:tcPr>
          <w:p>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1kg</w:t>
            </w:r>
            <w:r>
              <w:rPr>
                <w:rFonts w:hint="eastAsia" w:ascii="宋体" w:hAnsi="宋体" w:cs="宋体"/>
                <w:color w:val="auto"/>
                <w:sz w:val="24"/>
                <w:szCs w:val="24"/>
                <w:highlight w:val="none"/>
                <w:vertAlign w:val="baseline"/>
                <w:lang w:val="en-US" w:eastAsia="zh-CN"/>
              </w:rPr>
              <w:t xml:space="preserve">（</w:t>
            </w:r>
            <w:r>
              <w:rPr>
                <w:rFonts w:hint="eastAsia" w:ascii="宋体" w:hAnsi="宋体" w:eastAsia="宋体" w:cs="宋体"/>
                <w:color w:val="auto"/>
                <w:sz w:val="24"/>
                <w:szCs w:val="24"/>
                <w:highlight w:val="none"/>
                <w:vertAlign w:val="baseline"/>
                <w:lang w:val="en-US" w:eastAsia="zh-CN"/>
              </w:rPr>
              <w:t xml:space="preserve">袋</w:t>
            </w:r>
            <w:r>
              <w:rPr>
                <w:rFonts w:hint="eastAsia" w:ascii="宋体" w:hAnsi="宋体" w:cs="宋体"/>
                <w:color w:val="auto"/>
                <w:sz w:val="24"/>
                <w:szCs w:val="24"/>
                <w:highlight w:val="none"/>
                <w:vertAlign w:val="baseline"/>
                <w:lang w:val="en-US" w:eastAsia="zh-CN"/>
              </w:rPr>
              <w:t xml:space="preserve">/桶/瓶）</w:t>
            </w:r>
            <w:r/>
          </w:p>
        </w:tc>
      </w:tr>
      <w:tr>
        <w:trPr/>
        <w:tc>
          <w:tcPr>
            <w:tcW w:w="2500" w:type="pct"/>
            <w:textDirection w:val="lrTb"/>
            <w:noWrap w:val="false"/>
          </w:tcPr>
          <w:p>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香醋</w:t>
            </w:r>
            <w:r/>
          </w:p>
        </w:tc>
        <w:tc>
          <w:tcPr>
            <w:tcW w:w="2500" w:type="pct"/>
            <w:textDirection w:val="lrTb"/>
            <w:noWrap w:val="false"/>
          </w:tcPr>
          <w:p>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1kg</w:t>
            </w:r>
            <w:r>
              <w:rPr>
                <w:rFonts w:hint="eastAsia" w:ascii="宋体" w:hAnsi="宋体" w:cs="宋体"/>
                <w:color w:val="auto"/>
                <w:sz w:val="24"/>
                <w:szCs w:val="24"/>
                <w:highlight w:val="none"/>
                <w:vertAlign w:val="baseline"/>
                <w:lang w:val="en-US" w:eastAsia="zh-CN"/>
              </w:rPr>
              <w:t xml:space="preserve">（</w:t>
            </w:r>
            <w:r>
              <w:rPr>
                <w:rFonts w:hint="eastAsia" w:ascii="宋体" w:hAnsi="宋体" w:eastAsia="宋体" w:cs="宋体"/>
                <w:color w:val="auto"/>
                <w:sz w:val="24"/>
                <w:szCs w:val="24"/>
                <w:highlight w:val="none"/>
                <w:vertAlign w:val="baseline"/>
                <w:lang w:val="en-US" w:eastAsia="zh-CN"/>
              </w:rPr>
              <w:t xml:space="preserve">袋</w:t>
            </w:r>
            <w:r>
              <w:rPr>
                <w:rFonts w:hint="eastAsia" w:ascii="宋体" w:hAnsi="宋体" w:cs="宋体"/>
                <w:color w:val="auto"/>
                <w:sz w:val="24"/>
                <w:szCs w:val="24"/>
                <w:highlight w:val="none"/>
                <w:vertAlign w:val="baseline"/>
                <w:lang w:val="en-US" w:eastAsia="zh-CN"/>
              </w:rPr>
              <w:t xml:space="preserve">/桶/瓶）</w:t>
            </w:r>
            <w:r/>
          </w:p>
        </w:tc>
      </w:tr>
      <w:tr>
        <w:trPr/>
        <w:tc>
          <w:tcPr>
            <w:tcW w:w="2500" w:type="pct"/>
            <w:textDirection w:val="lrTb"/>
            <w:noWrap w:val="false"/>
          </w:tcPr>
          <w:p>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番茄沙司</w:t>
            </w:r>
            <w:r/>
          </w:p>
        </w:tc>
        <w:tc>
          <w:tcPr>
            <w:tcW w:w="2500" w:type="pct"/>
            <w:textDirection w:val="lrTb"/>
            <w:noWrap w:val="false"/>
          </w:tcPr>
          <w:p>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1kg</w:t>
            </w:r>
            <w:r>
              <w:rPr>
                <w:rFonts w:hint="eastAsia" w:ascii="宋体" w:hAnsi="宋体" w:cs="宋体"/>
                <w:color w:val="auto"/>
                <w:sz w:val="24"/>
                <w:szCs w:val="24"/>
                <w:highlight w:val="none"/>
                <w:vertAlign w:val="baseline"/>
                <w:lang w:val="en-US" w:eastAsia="zh-CN"/>
              </w:rPr>
              <w:t xml:space="preserve">（</w:t>
            </w:r>
            <w:r>
              <w:rPr>
                <w:rFonts w:hint="eastAsia" w:ascii="宋体" w:hAnsi="宋体" w:eastAsia="宋体" w:cs="宋体"/>
                <w:color w:val="auto"/>
                <w:sz w:val="24"/>
                <w:szCs w:val="24"/>
                <w:highlight w:val="none"/>
                <w:vertAlign w:val="baseline"/>
                <w:lang w:val="en-US" w:eastAsia="zh-CN"/>
              </w:rPr>
              <w:t xml:space="preserve">袋</w:t>
            </w:r>
            <w:r>
              <w:rPr>
                <w:rFonts w:hint="eastAsia" w:ascii="宋体" w:hAnsi="宋体" w:cs="宋体"/>
                <w:color w:val="auto"/>
                <w:sz w:val="24"/>
                <w:szCs w:val="24"/>
                <w:highlight w:val="none"/>
                <w:vertAlign w:val="baseline"/>
                <w:lang w:val="en-US" w:eastAsia="zh-CN"/>
              </w:rPr>
              <w:t xml:space="preserve">/桶/瓶）</w:t>
            </w:r>
            <w:r/>
          </w:p>
        </w:tc>
      </w:tr>
      <w:tr>
        <w:trPr/>
        <w:tc>
          <w:tcPr>
            <w:tcW w:w="2500" w:type="pct"/>
            <w:textDirection w:val="lrTb"/>
            <w:noWrap w:val="false"/>
          </w:tcPr>
          <w:p>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老抽</w:t>
            </w:r>
            <w:r/>
          </w:p>
        </w:tc>
        <w:tc>
          <w:tcPr>
            <w:tcW w:w="2500" w:type="pct"/>
            <w:textDirection w:val="lrTb"/>
            <w:noWrap w:val="false"/>
          </w:tcPr>
          <w:p>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1kg</w:t>
            </w:r>
            <w:r>
              <w:rPr>
                <w:rFonts w:hint="eastAsia" w:ascii="宋体" w:hAnsi="宋体" w:cs="宋体"/>
                <w:color w:val="auto"/>
                <w:sz w:val="24"/>
                <w:szCs w:val="24"/>
                <w:highlight w:val="none"/>
                <w:vertAlign w:val="baseline"/>
                <w:lang w:val="en-US" w:eastAsia="zh-CN"/>
              </w:rPr>
              <w:t xml:space="preserve">（</w:t>
            </w:r>
            <w:r>
              <w:rPr>
                <w:rFonts w:hint="eastAsia" w:ascii="宋体" w:hAnsi="宋体" w:eastAsia="宋体" w:cs="宋体"/>
                <w:color w:val="auto"/>
                <w:sz w:val="24"/>
                <w:szCs w:val="24"/>
                <w:highlight w:val="none"/>
                <w:vertAlign w:val="baseline"/>
                <w:lang w:val="en-US" w:eastAsia="zh-CN"/>
              </w:rPr>
              <w:t xml:space="preserve">袋</w:t>
            </w:r>
            <w:r>
              <w:rPr>
                <w:rFonts w:hint="eastAsia" w:ascii="宋体" w:hAnsi="宋体" w:cs="宋体"/>
                <w:color w:val="auto"/>
                <w:sz w:val="24"/>
                <w:szCs w:val="24"/>
                <w:highlight w:val="none"/>
                <w:vertAlign w:val="baseline"/>
                <w:lang w:val="en-US" w:eastAsia="zh-CN"/>
              </w:rPr>
              <w:t xml:space="preserve">/桶/瓶）</w:t>
            </w:r>
            <w:r/>
          </w:p>
        </w:tc>
      </w:tr>
      <w:tr>
        <w:trPr/>
        <w:tc>
          <w:tcPr>
            <w:tcW w:w="2500" w:type="pct"/>
            <w:textDirection w:val="lrTb"/>
            <w:noWrap w:val="false"/>
          </w:tcPr>
          <w:p>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沙拉汁</w:t>
            </w:r>
            <w:r/>
          </w:p>
        </w:tc>
        <w:tc>
          <w:tcPr>
            <w:tcW w:w="2500" w:type="pct"/>
            <w:textDirection w:val="lrTb"/>
            <w:noWrap w:val="false"/>
          </w:tcPr>
          <w:p>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1kg</w:t>
            </w:r>
            <w:r>
              <w:rPr>
                <w:rFonts w:hint="eastAsia" w:ascii="宋体" w:hAnsi="宋体" w:cs="宋体"/>
                <w:color w:val="auto"/>
                <w:sz w:val="24"/>
                <w:szCs w:val="24"/>
                <w:highlight w:val="none"/>
                <w:vertAlign w:val="baseline"/>
                <w:lang w:val="en-US" w:eastAsia="zh-CN"/>
              </w:rPr>
              <w:t xml:space="preserve">（</w:t>
            </w:r>
            <w:r>
              <w:rPr>
                <w:rFonts w:hint="eastAsia" w:ascii="宋体" w:hAnsi="宋体" w:eastAsia="宋体" w:cs="宋体"/>
                <w:color w:val="auto"/>
                <w:sz w:val="24"/>
                <w:szCs w:val="24"/>
                <w:highlight w:val="none"/>
                <w:vertAlign w:val="baseline"/>
                <w:lang w:val="en-US" w:eastAsia="zh-CN"/>
              </w:rPr>
              <w:t xml:space="preserve">袋</w:t>
            </w:r>
            <w:r>
              <w:rPr>
                <w:rFonts w:hint="eastAsia" w:ascii="宋体" w:hAnsi="宋体" w:cs="宋体"/>
                <w:color w:val="auto"/>
                <w:sz w:val="24"/>
                <w:szCs w:val="24"/>
                <w:highlight w:val="none"/>
                <w:vertAlign w:val="baseline"/>
                <w:lang w:val="en-US" w:eastAsia="zh-CN"/>
              </w:rPr>
              <w:t xml:space="preserve">/桶/瓶）</w:t>
            </w:r>
            <w:r/>
          </w:p>
        </w:tc>
      </w:tr>
      <w:tr>
        <w:trPr/>
        <w:tc>
          <w:tcPr>
            <w:tcW w:w="2500" w:type="pct"/>
            <w:textDirection w:val="lrTb"/>
            <w:noWrap w:val="false"/>
          </w:tcPr>
          <w:p>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沙拉酱</w:t>
            </w:r>
            <w:r/>
          </w:p>
        </w:tc>
        <w:tc>
          <w:tcPr>
            <w:tcW w:w="2500" w:type="pct"/>
            <w:textDirection w:val="lrTb"/>
            <w:noWrap w:val="false"/>
          </w:tcPr>
          <w:p>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1kg</w:t>
            </w:r>
            <w:r>
              <w:rPr>
                <w:rFonts w:hint="eastAsia" w:ascii="宋体" w:hAnsi="宋体" w:cs="宋体"/>
                <w:color w:val="auto"/>
                <w:sz w:val="24"/>
                <w:szCs w:val="24"/>
                <w:highlight w:val="none"/>
                <w:vertAlign w:val="baseline"/>
                <w:lang w:val="en-US" w:eastAsia="zh-CN"/>
              </w:rPr>
              <w:t xml:space="preserve">（</w:t>
            </w:r>
            <w:r>
              <w:rPr>
                <w:rFonts w:hint="eastAsia" w:ascii="宋体" w:hAnsi="宋体" w:eastAsia="宋体" w:cs="宋体"/>
                <w:color w:val="auto"/>
                <w:sz w:val="24"/>
                <w:szCs w:val="24"/>
                <w:highlight w:val="none"/>
                <w:vertAlign w:val="baseline"/>
                <w:lang w:val="en-US" w:eastAsia="zh-CN"/>
              </w:rPr>
              <w:t xml:space="preserve">袋</w:t>
            </w:r>
            <w:r>
              <w:rPr>
                <w:rFonts w:hint="eastAsia" w:ascii="宋体" w:hAnsi="宋体" w:cs="宋体"/>
                <w:color w:val="auto"/>
                <w:sz w:val="24"/>
                <w:szCs w:val="24"/>
                <w:highlight w:val="none"/>
                <w:vertAlign w:val="baseline"/>
                <w:lang w:val="en-US" w:eastAsia="zh-CN"/>
              </w:rPr>
              <w:t xml:space="preserve">/桶/瓶）</w:t>
            </w:r>
            <w:r/>
          </w:p>
        </w:tc>
      </w:tr>
      <w:tr>
        <w:trPr/>
        <w:tc>
          <w:tcPr>
            <w:tcW w:w="2500" w:type="pct"/>
            <w:textDirection w:val="lrTb"/>
            <w:noWrap w:val="false"/>
          </w:tcPr>
          <w:p>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蒸鱼豉油</w:t>
            </w:r>
            <w:r/>
          </w:p>
        </w:tc>
        <w:tc>
          <w:tcPr>
            <w:tcW w:w="2500" w:type="pct"/>
            <w:textDirection w:val="lrTb"/>
            <w:noWrap w:val="false"/>
          </w:tcPr>
          <w:p>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1kg</w:t>
            </w:r>
            <w:r>
              <w:rPr>
                <w:rFonts w:hint="eastAsia" w:ascii="宋体" w:hAnsi="宋体" w:cs="宋体"/>
                <w:color w:val="auto"/>
                <w:sz w:val="24"/>
                <w:szCs w:val="24"/>
                <w:highlight w:val="none"/>
                <w:vertAlign w:val="baseline"/>
                <w:lang w:val="en-US" w:eastAsia="zh-CN"/>
              </w:rPr>
              <w:t xml:space="preserve">（</w:t>
            </w:r>
            <w:r>
              <w:rPr>
                <w:rFonts w:hint="eastAsia" w:ascii="宋体" w:hAnsi="宋体" w:eastAsia="宋体" w:cs="宋体"/>
                <w:color w:val="auto"/>
                <w:sz w:val="24"/>
                <w:szCs w:val="24"/>
                <w:highlight w:val="none"/>
                <w:vertAlign w:val="baseline"/>
                <w:lang w:val="en-US" w:eastAsia="zh-CN"/>
              </w:rPr>
              <w:t xml:space="preserve">袋</w:t>
            </w:r>
            <w:r>
              <w:rPr>
                <w:rFonts w:hint="eastAsia" w:ascii="宋体" w:hAnsi="宋体" w:cs="宋体"/>
                <w:color w:val="auto"/>
                <w:sz w:val="24"/>
                <w:szCs w:val="24"/>
                <w:highlight w:val="none"/>
                <w:vertAlign w:val="baseline"/>
                <w:lang w:val="en-US" w:eastAsia="zh-CN"/>
              </w:rPr>
              <w:t xml:space="preserve">/桶/瓶）</w:t>
            </w:r>
            <w:r/>
          </w:p>
        </w:tc>
      </w:tr>
      <w:tr>
        <w:trPr/>
        <w:tc>
          <w:tcPr>
            <w:tcW w:w="2500" w:type="pct"/>
            <w:textDirection w:val="lrTb"/>
            <w:noWrap w:val="false"/>
          </w:tcPr>
          <w:p>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黄豆酱</w:t>
            </w:r>
            <w:r/>
          </w:p>
        </w:tc>
        <w:tc>
          <w:tcPr>
            <w:tcW w:w="2500" w:type="pct"/>
            <w:textDirection w:val="lrTb"/>
            <w:noWrap w:val="false"/>
          </w:tcPr>
          <w:p>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1kg</w:t>
            </w:r>
            <w:r>
              <w:rPr>
                <w:rFonts w:hint="eastAsia" w:ascii="宋体" w:hAnsi="宋体" w:cs="宋体"/>
                <w:color w:val="auto"/>
                <w:sz w:val="24"/>
                <w:szCs w:val="24"/>
                <w:highlight w:val="none"/>
                <w:vertAlign w:val="baseline"/>
                <w:lang w:val="en-US" w:eastAsia="zh-CN"/>
              </w:rPr>
              <w:t xml:space="preserve">（</w:t>
            </w:r>
            <w:r>
              <w:rPr>
                <w:rFonts w:hint="eastAsia" w:ascii="宋体" w:hAnsi="宋体" w:eastAsia="宋体" w:cs="宋体"/>
                <w:color w:val="auto"/>
                <w:sz w:val="24"/>
                <w:szCs w:val="24"/>
                <w:highlight w:val="none"/>
                <w:vertAlign w:val="baseline"/>
                <w:lang w:val="en-US" w:eastAsia="zh-CN"/>
              </w:rPr>
              <w:t xml:space="preserve">袋</w:t>
            </w:r>
            <w:r>
              <w:rPr>
                <w:rFonts w:hint="eastAsia" w:ascii="宋体" w:hAnsi="宋体" w:cs="宋体"/>
                <w:color w:val="auto"/>
                <w:sz w:val="24"/>
                <w:szCs w:val="24"/>
                <w:highlight w:val="none"/>
                <w:vertAlign w:val="baseline"/>
                <w:lang w:val="en-US" w:eastAsia="zh-CN"/>
              </w:rPr>
              <w:t xml:space="preserve">/桶/瓶）</w:t>
            </w:r>
            <w:r/>
          </w:p>
        </w:tc>
      </w:tr>
      <w:tr>
        <w:trPr/>
        <w:tc>
          <w:tcPr>
            <w:tcW w:w="2500" w:type="pct"/>
            <w:textDirection w:val="lrTb"/>
            <w:noWrap w:val="false"/>
          </w:tcPr>
          <w:p>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藤椒油</w:t>
            </w:r>
            <w:r/>
          </w:p>
        </w:tc>
        <w:tc>
          <w:tcPr>
            <w:tcW w:w="2500" w:type="pct"/>
            <w:textDirection w:val="lrTb"/>
            <w:noWrap w:val="false"/>
          </w:tcPr>
          <w:p>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1kg</w:t>
            </w:r>
            <w:r>
              <w:rPr>
                <w:rFonts w:hint="eastAsia" w:ascii="宋体" w:hAnsi="宋体" w:cs="宋体"/>
                <w:color w:val="auto"/>
                <w:sz w:val="24"/>
                <w:szCs w:val="24"/>
                <w:highlight w:val="none"/>
                <w:vertAlign w:val="baseline"/>
                <w:lang w:val="en-US" w:eastAsia="zh-CN"/>
              </w:rPr>
              <w:t xml:space="preserve">（</w:t>
            </w:r>
            <w:r>
              <w:rPr>
                <w:rFonts w:hint="eastAsia" w:ascii="宋体" w:hAnsi="宋体" w:eastAsia="宋体" w:cs="宋体"/>
                <w:color w:val="auto"/>
                <w:sz w:val="24"/>
                <w:szCs w:val="24"/>
                <w:highlight w:val="none"/>
                <w:vertAlign w:val="baseline"/>
                <w:lang w:val="en-US" w:eastAsia="zh-CN"/>
              </w:rPr>
              <w:t xml:space="preserve">袋</w:t>
            </w:r>
            <w:r>
              <w:rPr>
                <w:rFonts w:hint="eastAsia" w:ascii="宋体" w:hAnsi="宋体" w:cs="宋体"/>
                <w:color w:val="auto"/>
                <w:sz w:val="24"/>
                <w:szCs w:val="24"/>
                <w:highlight w:val="none"/>
                <w:vertAlign w:val="baseline"/>
                <w:lang w:val="en-US" w:eastAsia="zh-CN"/>
              </w:rPr>
              <w:t xml:space="preserve">/桶/瓶）</w:t>
            </w:r>
            <w:r/>
          </w:p>
        </w:tc>
      </w:tr>
      <w:tr>
        <w:trPr>
          <w:trHeight w:val="288"/>
        </w:trPr>
        <w:tc>
          <w:tcPr>
            <w:tcW w:w="2500" w:type="pct"/>
            <w:textDirection w:val="lrTb"/>
            <w:noWrap w:val="false"/>
          </w:tcPr>
          <w:p>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香辣酱</w:t>
            </w:r>
            <w:r/>
          </w:p>
        </w:tc>
        <w:tc>
          <w:tcPr>
            <w:tcW w:w="2500" w:type="pct"/>
            <w:textDirection w:val="lrTb"/>
            <w:noWrap w:val="false"/>
          </w:tcPr>
          <w:p>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1kg</w:t>
            </w:r>
            <w:r>
              <w:rPr>
                <w:rFonts w:hint="eastAsia" w:ascii="宋体" w:hAnsi="宋体" w:cs="宋体"/>
                <w:color w:val="auto"/>
                <w:sz w:val="24"/>
                <w:szCs w:val="24"/>
                <w:highlight w:val="none"/>
                <w:vertAlign w:val="baseline"/>
                <w:lang w:val="en-US" w:eastAsia="zh-CN"/>
              </w:rPr>
              <w:t xml:space="preserve">（</w:t>
            </w:r>
            <w:r>
              <w:rPr>
                <w:rFonts w:hint="eastAsia" w:ascii="宋体" w:hAnsi="宋体" w:eastAsia="宋体" w:cs="宋体"/>
                <w:color w:val="auto"/>
                <w:sz w:val="24"/>
                <w:szCs w:val="24"/>
                <w:highlight w:val="none"/>
                <w:vertAlign w:val="baseline"/>
                <w:lang w:val="en-US" w:eastAsia="zh-CN"/>
              </w:rPr>
              <w:t xml:space="preserve">袋</w:t>
            </w:r>
            <w:r>
              <w:rPr>
                <w:rFonts w:hint="eastAsia" w:ascii="宋体" w:hAnsi="宋体" w:cs="宋体"/>
                <w:color w:val="auto"/>
                <w:sz w:val="24"/>
                <w:szCs w:val="24"/>
                <w:highlight w:val="none"/>
                <w:vertAlign w:val="baseline"/>
                <w:lang w:val="en-US" w:eastAsia="zh-CN"/>
              </w:rPr>
              <w:t xml:space="preserve">/桶/瓶）</w:t>
            </w:r>
            <w:r/>
          </w:p>
        </w:tc>
      </w:tr>
      <w:tr>
        <w:trPr/>
        <w:tc>
          <w:tcPr>
            <w:tcW w:w="2500" w:type="pct"/>
            <w:textDirection w:val="lrTb"/>
            <w:noWrap w:val="false"/>
          </w:tcPr>
          <w:p>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海鲜酱</w:t>
            </w:r>
            <w:r/>
          </w:p>
        </w:tc>
        <w:tc>
          <w:tcPr>
            <w:tcW w:w="2500" w:type="pct"/>
            <w:textDirection w:val="lrTb"/>
            <w:noWrap w:val="false"/>
          </w:tcPr>
          <w:p>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1kg</w:t>
            </w:r>
            <w:r>
              <w:rPr>
                <w:rFonts w:hint="eastAsia" w:ascii="宋体" w:hAnsi="宋体" w:cs="宋体"/>
                <w:color w:val="auto"/>
                <w:sz w:val="24"/>
                <w:szCs w:val="24"/>
                <w:highlight w:val="none"/>
                <w:vertAlign w:val="baseline"/>
                <w:lang w:val="en-US" w:eastAsia="zh-CN"/>
              </w:rPr>
              <w:t xml:space="preserve">（</w:t>
            </w:r>
            <w:r>
              <w:rPr>
                <w:rFonts w:hint="eastAsia" w:ascii="宋体" w:hAnsi="宋体" w:eastAsia="宋体" w:cs="宋体"/>
                <w:color w:val="auto"/>
                <w:sz w:val="24"/>
                <w:szCs w:val="24"/>
                <w:highlight w:val="none"/>
                <w:vertAlign w:val="baseline"/>
                <w:lang w:val="en-US" w:eastAsia="zh-CN"/>
              </w:rPr>
              <w:t xml:space="preserve">袋</w:t>
            </w:r>
            <w:r>
              <w:rPr>
                <w:rFonts w:hint="eastAsia" w:ascii="宋体" w:hAnsi="宋体" w:cs="宋体"/>
                <w:color w:val="auto"/>
                <w:sz w:val="24"/>
                <w:szCs w:val="24"/>
                <w:highlight w:val="none"/>
                <w:vertAlign w:val="baseline"/>
                <w:lang w:val="en-US" w:eastAsia="zh-CN"/>
              </w:rPr>
              <w:t xml:space="preserve">/桶/瓶）</w:t>
            </w:r>
            <w:r/>
          </w:p>
        </w:tc>
      </w:tr>
      <w:tr>
        <w:trPr/>
        <w:tc>
          <w:tcPr>
            <w:tcW w:w="2500" w:type="pct"/>
            <w:textDirection w:val="lrTb"/>
            <w:noWrap w:val="false"/>
          </w:tcPr>
          <w:p>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豆豉酱</w:t>
            </w:r>
            <w:r/>
          </w:p>
        </w:tc>
        <w:tc>
          <w:tcPr>
            <w:tcW w:w="2500" w:type="pct"/>
            <w:textDirection w:val="lrTb"/>
            <w:noWrap w:val="false"/>
          </w:tcPr>
          <w:p>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1kg</w:t>
            </w:r>
            <w:r>
              <w:rPr>
                <w:rFonts w:hint="eastAsia" w:ascii="宋体" w:hAnsi="宋体" w:cs="宋体"/>
                <w:color w:val="auto"/>
                <w:sz w:val="24"/>
                <w:szCs w:val="24"/>
                <w:highlight w:val="none"/>
                <w:vertAlign w:val="baseline"/>
                <w:lang w:val="en-US" w:eastAsia="zh-CN"/>
              </w:rPr>
              <w:t xml:space="preserve">（</w:t>
            </w:r>
            <w:r>
              <w:rPr>
                <w:rFonts w:hint="eastAsia" w:ascii="宋体" w:hAnsi="宋体" w:eastAsia="宋体" w:cs="宋体"/>
                <w:color w:val="auto"/>
                <w:sz w:val="24"/>
                <w:szCs w:val="24"/>
                <w:highlight w:val="none"/>
                <w:vertAlign w:val="baseline"/>
                <w:lang w:val="en-US" w:eastAsia="zh-CN"/>
              </w:rPr>
              <w:t xml:space="preserve">袋</w:t>
            </w:r>
            <w:r>
              <w:rPr>
                <w:rFonts w:hint="eastAsia" w:ascii="宋体" w:hAnsi="宋体" w:cs="宋体"/>
                <w:color w:val="auto"/>
                <w:sz w:val="24"/>
                <w:szCs w:val="24"/>
                <w:highlight w:val="none"/>
                <w:vertAlign w:val="baseline"/>
                <w:lang w:val="en-US" w:eastAsia="zh-CN"/>
              </w:rPr>
              <w:t xml:space="preserve">/桶/瓶）</w:t>
            </w:r>
            <w:r/>
          </w:p>
        </w:tc>
      </w:tr>
      <w:tr>
        <w:trPr/>
        <w:tc>
          <w:tcPr>
            <w:tcW w:w="2500" w:type="pct"/>
            <w:textDirection w:val="lrTb"/>
            <w:noWrap w:val="false"/>
          </w:tcPr>
          <w:p>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甜面酱</w:t>
            </w:r>
            <w:r/>
          </w:p>
        </w:tc>
        <w:tc>
          <w:tcPr>
            <w:tcW w:w="2500" w:type="pct"/>
            <w:textDirection w:val="lrTb"/>
            <w:noWrap w:val="false"/>
          </w:tcPr>
          <w:p>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1kg</w:t>
            </w:r>
            <w:r>
              <w:rPr>
                <w:rFonts w:hint="eastAsia" w:ascii="宋体" w:hAnsi="宋体" w:cs="宋体"/>
                <w:color w:val="auto"/>
                <w:sz w:val="24"/>
                <w:szCs w:val="24"/>
                <w:highlight w:val="none"/>
                <w:vertAlign w:val="baseline"/>
                <w:lang w:val="en-US" w:eastAsia="zh-CN"/>
              </w:rPr>
              <w:t xml:space="preserve">（</w:t>
            </w:r>
            <w:r>
              <w:rPr>
                <w:rFonts w:hint="eastAsia" w:ascii="宋体" w:hAnsi="宋体" w:eastAsia="宋体" w:cs="宋体"/>
                <w:color w:val="auto"/>
                <w:sz w:val="24"/>
                <w:szCs w:val="24"/>
                <w:highlight w:val="none"/>
                <w:vertAlign w:val="baseline"/>
                <w:lang w:val="en-US" w:eastAsia="zh-CN"/>
              </w:rPr>
              <w:t xml:space="preserve">袋</w:t>
            </w:r>
            <w:r>
              <w:rPr>
                <w:rFonts w:hint="eastAsia" w:ascii="宋体" w:hAnsi="宋体" w:cs="宋体"/>
                <w:color w:val="auto"/>
                <w:sz w:val="24"/>
                <w:szCs w:val="24"/>
                <w:highlight w:val="none"/>
                <w:vertAlign w:val="baseline"/>
                <w:lang w:val="en-US" w:eastAsia="zh-CN"/>
              </w:rPr>
              <w:t xml:space="preserve">/桶/瓶）</w:t>
            </w:r>
            <w:r/>
          </w:p>
        </w:tc>
      </w:tr>
      <w:tr>
        <w:trPr/>
        <w:tc>
          <w:tcPr>
            <w:tcW w:w="2500" w:type="pct"/>
            <w:textDirection w:val="lrTb"/>
            <w:noWrap w:val="false"/>
          </w:tcPr>
          <w:p>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耗油</w:t>
            </w:r>
            <w:r/>
          </w:p>
        </w:tc>
        <w:tc>
          <w:tcPr>
            <w:tcW w:w="2500" w:type="pct"/>
            <w:textDirection w:val="lrTb"/>
            <w:noWrap w:val="false"/>
          </w:tcPr>
          <w:p>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1kg</w:t>
            </w:r>
            <w:r>
              <w:rPr>
                <w:rFonts w:hint="eastAsia" w:ascii="宋体" w:hAnsi="宋体" w:cs="宋体"/>
                <w:color w:val="auto"/>
                <w:sz w:val="24"/>
                <w:szCs w:val="24"/>
                <w:highlight w:val="none"/>
                <w:vertAlign w:val="baseline"/>
                <w:lang w:val="en-US" w:eastAsia="zh-CN"/>
              </w:rPr>
              <w:t xml:space="preserve">（</w:t>
            </w:r>
            <w:r>
              <w:rPr>
                <w:rFonts w:hint="eastAsia" w:ascii="宋体" w:hAnsi="宋体" w:eastAsia="宋体" w:cs="宋体"/>
                <w:color w:val="auto"/>
                <w:sz w:val="24"/>
                <w:szCs w:val="24"/>
                <w:highlight w:val="none"/>
                <w:vertAlign w:val="baseline"/>
                <w:lang w:val="en-US" w:eastAsia="zh-CN"/>
              </w:rPr>
              <w:t xml:space="preserve">袋</w:t>
            </w:r>
            <w:r>
              <w:rPr>
                <w:rFonts w:hint="eastAsia" w:ascii="宋体" w:hAnsi="宋体" w:cs="宋体"/>
                <w:color w:val="auto"/>
                <w:sz w:val="24"/>
                <w:szCs w:val="24"/>
                <w:highlight w:val="none"/>
                <w:vertAlign w:val="baseline"/>
                <w:lang w:val="en-US" w:eastAsia="zh-CN"/>
              </w:rPr>
              <w:t xml:space="preserve">/桶/瓶）</w:t>
            </w:r>
            <w:r/>
          </w:p>
        </w:tc>
      </w:tr>
      <w:tr>
        <w:trPr/>
        <w:tc>
          <w:tcPr>
            <w:tcW w:w="2500" w:type="pct"/>
            <w:textDirection w:val="lrTb"/>
            <w:noWrap w:val="false"/>
          </w:tcPr>
          <w:p>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红油豆瓣酱</w:t>
            </w:r>
            <w:r/>
          </w:p>
        </w:tc>
        <w:tc>
          <w:tcPr>
            <w:tcW w:w="2500" w:type="pct"/>
            <w:textDirection w:val="lrTb"/>
            <w:noWrap w:val="false"/>
          </w:tcPr>
          <w:p>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1kg</w:t>
            </w:r>
            <w:r>
              <w:rPr>
                <w:rFonts w:hint="eastAsia" w:ascii="宋体" w:hAnsi="宋体" w:cs="宋体"/>
                <w:color w:val="auto"/>
                <w:sz w:val="24"/>
                <w:szCs w:val="24"/>
                <w:highlight w:val="none"/>
                <w:vertAlign w:val="baseline"/>
                <w:lang w:val="en-US" w:eastAsia="zh-CN"/>
              </w:rPr>
              <w:t xml:space="preserve">（</w:t>
            </w:r>
            <w:r>
              <w:rPr>
                <w:rFonts w:hint="eastAsia" w:ascii="宋体" w:hAnsi="宋体" w:eastAsia="宋体" w:cs="宋体"/>
                <w:color w:val="auto"/>
                <w:sz w:val="24"/>
                <w:szCs w:val="24"/>
                <w:highlight w:val="none"/>
                <w:vertAlign w:val="baseline"/>
                <w:lang w:val="en-US" w:eastAsia="zh-CN"/>
              </w:rPr>
              <w:t xml:space="preserve">袋</w:t>
            </w:r>
            <w:r>
              <w:rPr>
                <w:rFonts w:hint="eastAsia" w:ascii="宋体" w:hAnsi="宋体" w:cs="宋体"/>
                <w:color w:val="auto"/>
                <w:sz w:val="24"/>
                <w:szCs w:val="24"/>
                <w:highlight w:val="none"/>
                <w:vertAlign w:val="baseline"/>
                <w:lang w:val="en-US" w:eastAsia="zh-CN"/>
              </w:rPr>
              <w:t xml:space="preserve">/桶/瓶）</w:t>
            </w:r>
            <w:r/>
          </w:p>
        </w:tc>
      </w:tr>
      <w:tr>
        <w:trPr/>
        <w:tc>
          <w:tcPr>
            <w:tcW w:w="2500" w:type="pct"/>
            <w:textDirection w:val="lrTb"/>
            <w:noWrap w:val="false"/>
          </w:tcPr>
          <w:p>
            <w:pPr>
              <w:jc w:val="center"/>
              <w:rPr>
                <w:rFonts w:hint="default"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八角</w:t>
            </w:r>
            <w:r/>
          </w:p>
        </w:tc>
        <w:tc>
          <w:tcPr>
            <w:tcW w:w="2500" w:type="pct"/>
            <w:textDirection w:val="lrTb"/>
            <w:noWrap w:val="false"/>
          </w:tcPr>
          <w:p>
            <w:pPr>
              <w:jc w:val="center"/>
              <w:rPr>
                <w:rFonts w:hint="default"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1kg</w:t>
            </w:r>
            <w:r/>
          </w:p>
        </w:tc>
      </w:tr>
      <w:tr>
        <w:trPr/>
        <w:tc>
          <w:tcPr>
            <w:tcW w:w="2500" w:type="pct"/>
            <w:textDirection w:val="lrTb"/>
            <w:noWrap w:val="false"/>
          </w:tcPr>
          <w:p>
            <w:pPr>
              <w:jc w:val="center"/>
              <w:rPr>
                <w:rFonts w:hint="default"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花椒（青、红壳）</w:t>
            </w:r>
            <w:r/>
          </w:p>
        </w:tc>
        <w:tc>
          <w:tcPr>
            <w:tcW w:w="2500" w:type="pct"/>
            <w:textDirection w:val="lrTb"/>
            <w:noWrap w:val="false"/>
          </w:tcPr>
          <w:p>
            <w:pPr>
              <w:jc w:val="center"/>
              <w:rPr>
                <w:rFonts w:hint="default"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1kg</w:t>
            </w:r>
            <w:r/>
          </w:p>
        </w:tc>
      </w:tr>
      <w:tr>
        <w:trPr/>
        <w:tc>
          <w:tcPr>
            <w:tcW w:w="2500" w:type="pct"/>
            <w:textDirection w:val="lrTb"/>
            <w:noWrap w:val="false"/>
          </w:tcPr>
          <w:p>
            <w:pPr>
              <w:jc w:val="center"/>
              <w:rPr>
                <w:rFonts w:hint="default"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木耳</w:t>
            </w:r>
            <w:r/>
          </w:p>
        </w:tc>
        <w:tc>
          <w:tcPr>
            <w:tcW w:w="2500" w:type="pct"/>
            <w:textDirection w:val="lrTb"/>
            <w:noWrap w:val="false"/>
          </w:tcPr>
          <w:p>
            <w:pPr>
              <w:jc w:val="center"/>
              <w:rPr>
                <w:rFonts w:hint="default"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1kg</w:t>
            </w:r>
            <w:r/>
          </w:p>
        </w:tc>
      </w:tr>
      <w:tr>
        <w:trPr/>
        <w:tc>
          <w:tcPr>
            <w:tcW w:w="2500" w:type="pct"/>
            <w:textDirection w:val="lrTb"/>
            <w:noWrap w:val="false"/>
          </w:tcPr>
          <w:p>
            <w:pPr>
              <w:jc w:val="center"/>
              <w:rPr>
                <w:rFonts w:hint="default"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干辣椒（丝、段）</w:t>
            </w:r>
            <w:r/>
          </w:p>
        </w:tc>
        <w:tc>
          <w:tcPr>
            <w:tcW w:w="2500" w:type="pct"/>
            <w:textDirection w:val="lrTb"/>
            <w:noWrap w:val="false"/>
          </w:tcPr>
          <w:p>
            <w:pPr>
              <w:jc w:val="center"/>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1kg</w:t>
            </w:r>
            <w:r/>
          </w:p>
        </w:tc>
      </w:tr>
      <w:tr>
        <w:trPr/>
        <w:tc>
          <w:tcPr>
            <w:tcW w:w="2500" w:type="pct"/>
            <w:textDirection w:val="lrTb"/>
            <w:noWrap w:val="false"/>
          </w:tcPr>
          <w:p>
            <w:pPr>
              <w:jc w:val="center"/>
              <w:rPr>
                <w:rFonts w:hint="default"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桂皮</w:t>
            </w:r>
            <w:r/>
          </w:p>
        </w:tc>
        <w:tc>
          <w:tcPr>
            <w:tcW w:w="2500" w:type="pct"/>
            <w:textDirection w:val="lrTb"/>
            <w:noWrap w:val="false"/>
          </w:tcPr>
          <w:p>
            <w:pPr>
              <w:jc w:val="center"/>
              <w:rPr>
                <w:rFonts w:hint="default"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1kg</w:t>
            </w:r>
            <w:r/>
          </w:p>
        </w:tc>
      </w:tr>
      <w:tr>
        <w:trPr/>
        <w:tc>
          <w:tcPr>
            <w:tcW w:w="2500" w:type="pct"/>
            <w:textDirection w:val="lrTb"/>
            <w:noWrap w:val="false"/>
          </w:tcPr>
          <w:p>
            <w:pPr>
              <w:jc w:val="center"/>
              <w:rPr>
                <w:rFonts w:hint="default"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香叶</w:t>
            </w:r>
            <w:r/>
          </w:p>
        </w:tc>
        <w:tc>
          <w:tcPr>
            <w:tcW w:w="4258" w:type="dxa"/>
            <w:vAlign w:val="top"/>
            <w:textDirection w:val="lrTb"/>
            <w:noWrap w:val="false"/>
          </w:tcPr>
          <w:p>
            <w:pPr>
              <w:jc w:val="center"/>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1kg</w:t>
            </w:r>
            <w:r/>
          </w:p>
        </w:tc>
      </w:tr>
      <w:tr>
        <w:trPr/>
        <w:tc>
          <w:tcPr>
            <w:tcW w:w="2500" w:type="pct"/>
            <w:textDirection w:val="lrTb"/>
            <w:noWrap w:val="false"/>
          </w:tcPr>
          <w:p>
            <w:pPr>
              <w:jc w:val="center"/>
              <w:rPr>
                <w:rFonts w:hint="default"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白芷</w:t>
            </w:r>
            <w:r/>
          </w:p>
        </w:tc>
        <w:tc>
          <w:tcPr>
            <w:tcW w:w="4258" w:type="dxa"/>
            <w:vAlign w:val="top"/>
            <w:textDirection w:val="lrTb"/>
            <w:noWrap w:val="false"/>
          </w:tcPr>
          <w:p>
            <w:pPr>
              <w:jc w:val="center"/>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1kg</w:t>
            </w:r>
            <w:r/>
          </w:p>
        </w:tc>
      </w:tr>
      <w:tr>
        <w:trPr/>
        <w:tc>
          <w:tcPr>
            <w:tcW w:w="2500" w:type="pct"/>
            <w:textDirection w:val="lrTb"/>
            <w:noWrap w:val="false"/>
          </w:tcPr>
          <w:p>
            <w:pPr>
              <w:jc w:val="center"/>
              <w:rPr>
                <w:rFonts w:hint="default"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白蔻</w:t>
            </w:r>
            <w:r/>
          </w:p>
        </w:tc>
        <w:tc>
          <w:tcPr>
            <w:tcW w:w="4258" w:type="dxa"/>
            <w:vAlign w:val="top"/>
            <w:textDirection w:val="lrTb"/>
            <w:noWrap w:val="false"/>
          </w:tcPr>
          <w:p>
            <w:pPr>
              <w:jc w:val="center"/>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1kg</w:t>
            </w:r>
            <w:r/>
          </w:p>
        </w:tc>
      </w:tr>
      <w:tr>
        <w:trPr/>
        <w:tc>
          <w:tcPr>
            <w:tcW w:w="2500" w:type="pct"/>
            <w:textDirection w:val="lrTb"/>
            <w:noWrap w:val="false"/>
          </w:tcPr>
          <w:p>
            <w:pPr>
              <w:jc w:val="center"/>
              <w:rPr>
                <w:rFonts w:hint="default"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草蔻</w:t>
            </w:r>
            <w:r/>
          </w:p>
        </w:tc>
        <w:tc>
          <w:tcPr>
            <w:tcW w:w="4258" w:type="dxa"/>
            <w:vAlign w:val="top"/>
            <w:textDirection w:val="lrTb"/>
            <w:noWrap w:val="false"/>
          </w:tcPr>
          <w:p>
            <w:pPr>
              <w:jc w:val="center"/>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1kg</w:t>
            </w:r>
            <w:r/>
          </w:p>
        </w:tc>
      </w:tr>
      <w:tr>
        <w:trPr/>
        <w:tc>
          <w:tcPr>
            <w:tcW w:w="2500" w:type="pct"/>
            <w:textDirection w:val="lrTb"/>
            <w:noWrap w:val="false"/>
          </w:tcPr>
          <w:p>
            <w:pPr>
              <w:jc w:val="center"/>
              <w:rPr>
                <w:rFonts w:hint="default"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肉蔻</w:t>
            </w:r>
            <w:r/>
          </w:p>
        </w:tc>
        <w:tc>
          <w:tcPr>
            <w:tcW w:w="4258" w:type="dxa"/>
            <w:vAlign w:val="top"/>
            <w:textDirection w:val="lrTb"/>
            <w:noWrap w:val="false"/>
          </w:tcPr>
          <w:p>
            <w:pPr>
              <w:jc w:val="center"/>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1kg</w:t>
            </w:r>
            <w:r/>
          </w:p>
        </w:tc>
      </w:tr>
      <w:tr>
        <w:trPr/>
        <w:tc>
          <w:tcPr>
            <w:tcW w:w="2500" w:type="pct"/>
            <w:textDirection w:val="lrTb"/>
            <w:noWrap w:val="false"/>
          </w:tcPr>
          <w:p>
            <w:pPr>
              <w:jc w:val="center"/>
              <w:rPr>
                <w:rFonts w:hint="default"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草果</w:t>
            </w:r>
            <w:r/>
          </w:p>
        </w:tc>
        <w:tc>
          <w:tcPr>
            <w:tcW w:w="4258" w:type="dxa"/>
            <w:vAlign w:val="top"/>
            <w:textDirection w:val="lrTb"/>
            <w:noWrap w:val="false"/>
          </w:tcPr>
          <w:p>
            <w:pPr>
              <w:jc w:val="center"/>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1kg</w:t>
            </w:r>
            <w:r/>
          </w:p>
        </w:tc>
      </w:tr>
      <w:tr>
        <w:trPr/>
        <w:tc>
          <w:tcPr>
            <w:tcW w:w="2500" w:type="pct"/>
            <w:textDirection w:val="lrTb"/>
            <w:noWrap w:val="false"/>
          </w:tcPr>
          <w:p>
            <w:pPr>
              <w:jc w:val="center"/>
              <w:rPr>
                <w:rFonts w:hint="default"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丁香</w:t>
            </w:r>
            <w:r/>
          </w:p>
        </w:tc>
        <w:tc>
          <w:tcPr>
            <w:tcW w:w="4258" w:type="dxa"/>
            <w:vAlign w:val="top"/>
            <w:textDirection w:val="lrTb"/>
            <w:noWrap w:val="false"/>
          </w:tcPr>
          <w:p>
            <w:pPr>
              <w:jc w:val="center"/>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1kg</w:t>
            </w:r>
            <w:r/>
          </w:p>
        </w:tc>
      </w:tr>
      <w:tr>
        <w:trPr/>
        <w:tc>
          <w:tcPr>
            <w:tcW w:w="2500" w:type="pct"/>
            <w:textDirection w:val="lrTb"/>
            <w:noWrap w:val="false"/>
          </w:tcPr>
          <w:p>
            <w:pPr>
              <w:jc w:val="center"/>
              <w:rPr>
                <w:rFonts w:hint="default"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小茴香</w:t>
            </w:r>
            <w:r/>
          </w:p>
        </w:tc>
        <w:tc>
          <w:tcPr>
            <w:tcW w:w="4258" w:type="dxa"/>
            <w:vAlign w:val="top"/>
            <w:textDirection w:val="lrTb"/>
            <w:noWrap w:val="false"/>
          </w:tcPr>
          <w:p>
            <w:pPr>
              <w:jc w:val="center"/>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1kg</w:t>
            </w:r>
            <w:r/>
          </w:p>
        </w:tc>
      </w:tr>
      <w:tr>
        <w:trPr/>
        <w:tc>
          <w:tcPr>
            <w:tcW w:w="2500" w:type="pct"/>
            <w:textDirection w:val="lrTb"/>
            <w:noWrap w:val="false"/>
          </w:tcPr>
          <w:p>
            <w:pPr>
              <w:jc w:val="center"/>
              <w:rPr>
                <w:rFonts w:hint="default"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陈皮</w:t>
            </w:r>
            <w:r/>
          </w:p>
        </w:tc>
        <w:tc>
          <w:tcPr>
            <w:tcW w:w="4258" w:type="dxa"/>
            <w:vAlign w:val="top"/>
            <w:textDirection w:val="lrTb"/>
            <w:noWrap w:val="false"/>
          </w:tcPr>
          <w:p>
            <w:pPr>
              <w:jc w:val="center"/>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1kg</w:t>
            </w:r>
            <w:r/>
          </w:p>
        </w:tc>
      </w:tr>
      <w:tr>
        <w:trPr/>
        <w:tc>
          <w:tcPr>
            <w:tcW w:w="2500" w:type="pct"/>
            <w:textDirection w:val="lrTb"/>
            <w:noWrap w:val="false"/>
          </w:tcPr>
          <w:p>
            <w:pPr>
              <w:jc w:val="center"/>
              <w:rPr>
                <w:rFonts w:hint="default"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山奈</w:t>
            </w:r>
            <w:r/>
          </w:p>
        </w:tc>
        <w:tc>
          <w:tcPr>
            <w:tcW w:w="4258" w:type="dxa"/>
            <w:vAlign w:val="top"/>
            <w:textDirection w:val="lrTb"/>
            <w:noWrap w:val="false"/>
          </w:tcPr>
          <w:p>
            <w:pPr>
              <w:jc w:val="center"/>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1kg</w:t>
            </w:r>
            <w:r/>
          </w:p>
        </w:tc>
      </w:tr>
      <w:tr>
        <w:trPr/>
        <w:tc>
          <w:tcPr>
            <w:tcW w:w="2500" w:type="pct"/>
            <w:textDirection w:val="lrTb"/>
            <w:noWrap w:val="false"/>
          </w:tcPr>
          <w:p>
            <w:pPr>
              <w:jc w:val="center"/>
              <w:rPr>
                <w:rFonts w:hint="default"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皮肚</w:t>
            </w:r>
            <w:r/>
          </w:p>
        </w:tc>
        <w:tc>
          <w:tcPr>
            <w:tcW w:w="4258" w:type="dxa"/>
            <w:vAlign w:val="top"/>
            <w:textDirection w:val="lrTb"/>
            <w:noWrap w:val="false"/>
          </w:tcPr>
          <w:p>
            <w:pPr>
              <w:jc w:val="center"/>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1kg</w:t>
            </w:r>
            <w:r/>
          </w:p>
        </w:tc>
      </w:tr>
      <w:tr>
        <w:trPr/>
        <w:tc>
          <w:tcPr>
            <w:tcW w:w="2500" w:type="pct"/>
            <w:textDirection w:val="lrTb"/>
            <w:noWrap w:val="false"/>
          </w:tcPr>
          <w:p>
            <w:pPr>
              <w:jc w:val="center"/>
              <w:rPr>
                <w:rFonts w:hint="default"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干笋</w:t>
            </w:r>
            <w:r/>
          </w:p>
        </w:tc>
        <w:tc>
          <w:tcPr>
            <w:tcW w:w="4258" w:type="dxa"/>
            <w:vAlign w:val="top"/>
            <w:textDirection w:val="lrTb"/>
            <w:noWrap w:val="false"/>
          </w:tcPr>
          <w:p>
            <w:pPr>
              <w:jc w:val="center"/>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1kg</w:t>
            </w:r>
            <w:r/>
          </w:p>
        </w:tc>
      </w:tr>
      <w:tr>
        <w:trPr/>
        <w:tc>
          <w:tcPr>
            <w:tcW w:w="2500" w:type="pct"/>
            <w:textDirection w:val="lrTb"/>
            <w:noWrap w:val="false"/>
          </w:tcPr>
          <w:p>
            <w:pPr>
              <w:jc w:val="center"/>
              <w:rPr>
                <w:rFonts w:hint="default"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银耳</w:t>
            </w:r>
            <w:r/>
          </w:p>
        </w:tc>
        <w:tc>
          <w:tcPr>
            <w:tcW w:w="4258" w:type="dxa"/>
            <w:vAlign w:val="top"/>
            <w:textDirection w:val="lrTb"/>
            <w:noWrap w:val="false"/>
          </w:tcPr>
          <w:p>
            <w:pPr>
              <w:jc w:val="center"/>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1kg</w:t>
            </w:r>
            <w:r/>
          </w:p>
        </w:tc>
      </w:tr>
      <w:tr>
        <w:trPr/>
        <w:tc>
          <w:tcPr>
            <w:tcW w:w="2500" w:type="pct"/>
            <w:textDirection w:val="lrTb"/>
            <w:noWrap w:val="false"/>
          </w:tcPr>
          <w:p>
            <w:pPr>
              <w:jc w:val="center"/>
              <w:rPr>
                <w:rFonts w:hint="default"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莲子</w:t>
            </w:r>
            <w:r/>
          </w:p>
        </w:tc>
        <w:tc>
          <w:tcPr>
            <w:tcW w:w="4258" w:type="dxa"/>
            <w:vAlign w:val="top"/>
            <w:textDirection w:val="lrTb"/>
            <w:noWrap w:val="false"/>
          </w:tcPr>
          <w:p>
            <w:pPr>
              <w:jc w:val="center"/>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1kg</w:t>
            </w:r>
            <w:r/>
          </w:p>
        </w:tc>
      </w:tr>
      <w:tr>
        <w:trPr/>
        <w:tc>
          <w:tcPr>
            <w:tcW w:w="2500" w:type="pct"/>
            <w:textDirection w:val="lrTb"/>
            <w:noWrap w:val="false"/>
          </w:tcPr>
          <w:p>
            <w:pPr>
              <w:jc w:val="center"/>
              <w:rPr>
                <w:rFonts w:hint="default"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花干</w:t>
            </w:r>
            <w:r/>
          </w:p>
        </w:tc>
        <w:tc>
          <w:tcPr>
            <w:tcW w:w="4258" w:type="dxa"/>
            <w:vAlign w:val="top"/>
            <w:textDirection w:val="lrTb"/>
            <w:noWrap w:val="false"/>
          </w:tcPr>
          <w:p>
            <w:pPr>
              <w:jc w:val="center"/>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1kg</w:t>
            </w:r>
            <w:r/>
          </w:p>
        </w:tc>
      </w:tr>
      <w:tr>
        <w:trPr/>
        <w:tc>
          <w:tcPr>
            <w:tcW w:w="2500" w:type="pct"/>
            <w:textDirection w:val="lrTb"/>
            <w:noWrap w:val="false"/>
          </w:tcPr>
          <w:p>
            <w:pPr>
              <w:jc w:val="center"/>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腐竹</w:t>
            </w:r>
            <w:r/>
          </w:p>
        </w:tc>
        <w:tc>
          <w:tcPr>
            <w:tcW w:w="4258" w:type="dxa"/>
            <w:vAlign w:val="top"/>
            <w:textDirection w:val="lrTb"/>
            <w:noWrap w:val="false"/>
          </w:tcPr>
          <w:p>
            <w:pPr>
              <w:jc w:val="center"/>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1kg</w:t>
            </w:r>
            <w:r/>
          </w:p>
        </w:tc>
      </w:tr>
      <w:tr>
        <w:trPr/>
        <w:tc>
          <w:tcPr>
            <w:tcW w:w="2500" w:type="pct"/>
            <w:textDirection w:val="lrTb"/>
            <w:noWrap w:val="false"/>
          </w:tcPr>
          <w:p>
            <w:pPr>
              <w:jc w:val="center"/>
              <w:rPr>
                <w:rFonts w:hint="default"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豆蔻</w:t>
            </w:r>
            <w:r/>
          </w:p>
        </w:tc>
        <w:tc>
          <w:tcPr>
            <w:tcW w:w="4258" w:type="dxa"/>
            <w:vAlign w:val="top"/>
            <w:textDirection w:val="lrTb"/>
            <w:noWrap w:val="false"/>
          </w:tcPr>
          <w:p>
            <w:pPr>
              <w:jc w:val="center"/>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1kg</w:t>
            </w:r>
            <w:r/>
          </w:p>
        </w:tc>
      </w:tr>
      <w:tr>
        <w:trPr/>
        <w:tc>
          <w:tcPr>
            <w:tcW w:w="2500" w:type="pct"/>
            <w:vAlign w:val="top"/>
            <w:textDirection w:val="lrTb"/>
            <w:noWrap w:val="false"/>
          </w:tcPr>
          <w:p>
            <w:pPr>
              <w:jc w:val="center"/>
              <w:rPr>
                <w:rFonts w:hint="eastAsia" w:ascii="宋体" w:hAnsi="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食盐</w:t>
            </w:r>
            <w:r/>
          </w:p>
        </w:tc>
        <w:tc>
          <w:tcPr>
            <w:tcW w:w="2500" w:type="pct"/>
            <w:vAlign w:val="top"/>
            <w:textDirection w:val="lrTb"/>
            <w:noWrap w:val="false"/>
          </w:tcPr>
          <w:p>
            <w:pPr>
              <w:jc w:val="center"/>
              <w:rPr>
                <w:rFonts w:hint="eastAsia" w:ascii="宋体" w:hAnsi="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500g/袋</w:t>
            </w:r>
            <w:r/>
          </w:p>
        </w:tc>
      </w:tr>
      <w:tr>
        <w:trPr/>
        <w:tc>
          <w:tcPr>
            <w:tcW w:w="2500" w:type="pct"/>
            <w:vAlign w:val="top"/>
            <w:textDirection w:val="lrTb"/>
            <w:noWrap w:val="false"/>
          </w:tcPr>
          <w:p>
            <w:pPr>
              <w:jc w:val="center"/>
              <w:rPr>
                <w:rFonts w:hint="eastAsia" w:ascii="宋体" w:hAnsi="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十三香</w:t>
            </w:r>
            <w:r/>
          </w:p>
        </w:tc>
        <w:tc>
          <w:tcPr>
            <w:tcW w:w="2500" w:type="pct"/>
            <w:vAlign w:val="top"/>
            <w:textDirection w:val="lrTb"/>
            <w:noWrap w:val="false"/>
          </w:tcPr>
          <w:p>
            <w:pPr>
              <w:jc w:val="center"/>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500</w:t>
            </w:r>
            <w:r>
              <w:rPr>
                <w:rFonts w:hint="eastAsia" w:ascii="宋体" w:hAnsi="宋体" w:eastAsia="宋体" w:cs="宋体"/>
                <w:color w:val="auto"/>
                <w:sz w:val="24"/>
                <w:szCs w:val="24"/>
                <w:highlight w:val="none"/>
                <w:vertAlign w:val="baseline"/>
                <w:lang w:val="en-US" w:eastAsia="zh-CN"/>
              </w:rPr>
              <w:t xml:space="preserve">g/盒</w:t>
            </w:r>
            <w:r/>
          </w:p>
        </w:tc>
      </w:tr>
      <w:tr>
        <w:trPr/>
        <w:tc>
          <w:tcPr>
            <w:tcW w:w="2500" w:type="pct"/>
            <w:vAlign w:val="top"/>
            <w:textDirection w:val="lrTb"/>
            <w:noWrap w:val="false"/>
          </w:tcPr>
          <w:p>
            <w:pPr>
              <w:jc w:val="center"/>
              <w:rPr>
                <w:rFonts w:hint="eastAsia" w:ascii="宋体" w:hAnsi="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咖喱粉</w:t>
            </w:r>
            <w:r/>
          </w:p>
        </w:tc>
        <w:tc>
          <w:tcPr>
            <w:tcW w:w="2500" w:type="pct"/>
            <w:vAlign w:val="top"/>
            <w:textDirection w:val="lrTb"/>
            <w:noWrap w:val="false"/>
          </w:tcPr>
          <w:p>
            <w:pPr>
              <w:jc w:val="center"/>
              <w:rPr>
                <w:rFonts w:hint="eastAsia" w:ascii="宋体" w:hAnsi="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500g/袋</w:t>
            </w:r>
            <w:r/>
          </w:p>
        </w:tc>
      </w:tr>
      <w:tr>
        <w:trPr/>
        <w:tc>
          <w:tcPr>
            <w:shd w:val="clear" w:color="auto" w:fill="auto"/>
            <w:tcW w:w="2500" w:type="pct"/>
            <w:vAlign w:val="top"/>
            <w:textDirection w:val="lrTb"/>
            <w:noWrap w:val="false"/>
          </w:tcPr>
          <w:p>
            <w:pPr>
              <w:jc w:val="center"/>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rPr>
              <w:t xml:space="preserve">泡打粉</w:t>
            </w:r>
            <w:r/>
          </w:p>
        </w:tc>
        <w:tc>
          <w:tcPr>
            <w:shd w:val="clear" w:color="auto" w:fill="auto"/>
            <w:tcW w:w="2500" w:type="pct"/>
            <w:vAlign w:val="top"/>
            <w:textDirection w:val="lrTb"/>
            <w:noWrap w:val="false"/>
          </w:tcPr>
          <w:p>
            <w:pPr>
              <w:jc w:val="center"/>
              <w:rPr>
                <w:rFonts w:hint="eastAsia" w:ascii="宋体" w:hAnsi="宋体" w:eastAsia="宋体" w:cs="宋体"/>
                <w:color w:val="auto"/>
                <w:sz w:val="24"/>
                <w:szCs w:val="24"/>
                <w:highlight w:val="none"/>
                <w:vertAlign w:val="baseline"/>
                <w:lang w:val="en-US" w:eastAsia="zh-CN" w:bidi="ar-SA"/>
              </w:rPr>
            </w:pPr>
            <w:r>
              <w:rPr>
                <w:rFonts w:hint="eastAsia" w:ascii="宋体" w:hAnsi="宋体" w:cs="宋体"/>
                <w:color w:val="auto"/>
                <w:sz w:val="24"/>
                <w:szCs w:val="24"/>
                <w:highlight w:val="none"/>
                <w:vertAlign w:val="baseline"/>
                <w:lang w:val="en-US" w:eastAsia="zh-CN"/>
              </w:rPr>
              <w:t xml:space="preserve">500</w:t>
            </w:r>
            <w:r>
              <w:rPr>
                <w:rFonts w:hint="eastAsia" w:ascii="宋体" w:hAnsi="宋体" w:eastAsia="宋体" w:cs="宋体"/>
                <w:color w:val="auto"/>
                <w:sz w:val="24"/>
                <w:szCs w:val="24"/>
                <w:highlight w:val="none"/>
                <w:vertAlign w:val="baseline"/>
                <w:lang w:val="en-US" w:eastAsia="zh-CN"/>
              </w:rPr>
              <w:t xml:space="preserve">g/袋</w:t>
            </w:r>
            <w:r/>
          </w:p>
        </w:tc>
      </w:tr>
      <w:tr>
        <w:trPr/>
        <w:tc>
          <w:tcPr>
            <w:shd w:val="clear" w:color="auto" w:fill="auto"/>
            <w:tcW w:w="2500" w:type="pct"/>
            <w:vAlign w:val="top"/>
            <w:textDirection w:val="lrTb"/>
            <w:noWrap w:val="false"/>
          </w:tcPr>
          <w:p>
            <w:pPr>
              <w:jc w:val="center"/>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rPr>
              <w:t xml:space="preserve">酵母粉</w:t>
            </w:r>
            <w:r/>
          </w:p>
        </w:tc>
        <w:tc>
          <w:tcPr>
            <w:shd w:val="clear" w:color="auto" w:fill="auto"/>
            <w:tcW w:w="2500" w:type="pct"/>
            <w:vAlign w:val="top"/>
            <w:textDirection w:val="lrTb"/>
            <w:noWrap w:val="false"/>
          </w:tcPr>
          <w:p>
            <w:pPr>
              <w:jc w:val="center"/>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rPr>
              <w:t xml:space="preserve">500g/袋</w:t>
            </w:r>
            <w:r/>
          </w:p>
        </w:tc>
      </w:tr>
      <w:tr>
        <w:trPr/>
        <w:tc>
          <w:tcPr>
            <w:shd w:val="clear" w:color="auto" w:fill="auto"/>
            <w:tcW w:w="2500" w:type="pct"/>
            <w:vAlign w:val="top"/>
            <w:textDirection w:val="lrTb"/>
            <w:noWrap w:val="false"/>
          </w:tcPr>
          <w:p>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绵白糖</w:t>
            </w:r>
            <w:r/>
          </w:p>
        </w:tc>
        <w:tc>
          <w:tcPr>
            <w:shd w:val="clear" w:color="auto" w:fill="auto"/>
            <w:tcW w:w="2500" w:type="pct"/>
            <w:vAlign w:val="top"/>
            <w:textDirection w:val="lrTb"/>
            <w:noWrap w:val="false"/>
          </w:tcPr>
          <w:p>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50kg</w:t>
            </w:r>
            <w:r>
              <w:rPr>
                <w:rFonts w:hint="eastAsia" w:ascii="宋体" w:hAnsi="宋体" w:eastAsia="宋体" w:cs="宋体"/>
                <w:color w:val="auto"/>
                <w:sz w:val="24"/>
                <w:szCs w:val="24"/>
                <w:highlight w:val="none"/>
                <w:vertAlign w:val="baseline"/>
                <w:lang w:val="en-US" w:eastAsia="zh-CN"/>
              </w:rPr>
              <w:t xml:space="preserve">/袋</w:t>
            </w:r>
            <w:r/>
          </w:p>
        </w:tc>
      </w:tr>
    </w:tbl>
    <w:p>
      <w:pPr>
        <w:ind w:right="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rPr>
        <w:t xml:space="preserve">、食材质量与安全要求</w:t>
      </w:r>
      <w:r/>
    </w:p>
    <w:p>
      <w:pPr>
        <w:ind w:righ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（一）通用质量标准</w:t>
      </w:r>
      <w:r/>
    </w:p>
    <w:p>
      <w:pPr>
        <w:ind w:righ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所有食材需满足《中华人民共和国食品安全法》《中华人民共和国农产品质量安全法》及医院相关规定，符合国家质量技术监督、食品卫生、行业标准，确保卫生、清洁、新鲜、无污染、无假冒伪劣、无过期变质，一次达标；使用中因食材质量导致的后果，由中标人全权负责。</w:t>
      </w:r>
      <w:r/>
    </w:p>
    <w:p>
      <w:pPr>
        <w:ind w:righ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未列明的其他产品质量要求，由供需双方协商确定。</w:t>
      </w:r>
      <w:r/>
    </w:p>
    <w:p>
      <w:pPr>
        <w:ind w:righ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（二）专项质量要求</w:t>
      </w:r>
      <w:r/>
    </w:p>
    <w:p>
      <w:pPr>
        <w:numPr>
          <w:ilvl w:val="0"/>
          <w:numId w:val="1"/>
        </w:numPr>
        <w:ind w:righ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大米：米粒饱满完整、颜色正常，无杂质、虫害、霉变；</w:t>
      </w:r>
      <w:r/>
    </w:p>
    <w:p>
      <w:pPr>
        <w:numPr>
          <w:ilvl w:val="0"/>
          <w:numId w:val="1"/>
        </w:numPr>
        <w:ind w:left="0" w:righ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面粉：颜色自然（乳白 / 微黄色），无结块、虫蚀、霉变；</w:t>
      </w:r>
      <w:r/>
    </w:p>
    <w:p>
      <w:pPr>
        <w:numPr>
          <w:ilvl w:val="0"/>
          <w:numId w:val="1"/>
        </w:numPr>
        <w:ind w:left="0" w:righ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食用油：油质清澈，无沉淀、杂质；</w:t>
      </w:r>
      <w:r/>
    </w:p>
    <w:p>
      <w:pPr>
        <w:numPr>
          <w:ilvl w:val="0"/>
          <w:numId w:val="1"/>
        </w:numPr>
        <w:ind w:left="0" w:righ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调味品</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含干货</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：外观正常、色泽均匀，无霉变、虫害、破损、污染；</w:t>
      </w:r>
      <w:r/>
    </w:p>
    <w:p>
      <w:pPr>
        <w:ind w:righ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检测要求：</w:t>
      </w:r>
      <w:r/>
    </w:p>
    <w:p>
      <w:pPr>
        <w:ind w:righ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采购人对每批次货品留样保存，每月随机抽样送检 1 次，送检费用由中标人承担；</w:t>
      </w:r>
      <w:r/>
    </w:p>
    <w:p>
      <w:pPr>
        <w:ind w:righ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中标人须配合食品安全检测，若货品不合格，采购人有权拒收，中标人需无条件退换。</w:t>
      </w:r>
      <w:r/>
    </w:p>
    <w:p>
      <w:pPr>
        <w:ind w:right="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rPr>
        <w:t xml:space="preserve">、配送与供应要求</w:t>
      </w:r>
      <w:r/>
    </w:p>
    <w:p>
      <w:pPr>
        <w:ind w:righ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（一）配送基础要求</w:t>
      </w:r>
      <w:r/>
    </w:p>
    <w:p>
      <w:pPr>
        <w:ind w:righ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配送地点：徐州市</w:t>
      </w:r>
      <w:r>
        <w:rPr>
          <w:rFonts w:hint="eastAsia" w:ascii="宋体" w:hAnsi="宋体" w:eastAsia="宋体" w:cs="宋体"/>
          <w:color w:val="auto"/>
          <w:sz w:val="24"/>
          <w:szCs w:val="24"/>
          <w:highlight w:val="none"/>
          <w:lang w:val="en-US" w:eastAsia="zh-CN"/>
        </w:rPr>
        <w:t xml:space="preserve">第一人民</w:t>
      </w:r>
      <w:r>
        <w:rPr>
          <w:rFonts w:hint="eastAsia" w:ascii="宋体" w:hAnsi="宋体" w:eastAsia="宋体" w:cs="宋体"/>
          <w:color w:val="auto"/>
          <w:sz w:val="24"/>
          <w:szCs w:val="24"/>
          <w:highlight w:val="none"/>
        </w:rPr>
        <w:t xml:space="preserve">医院食堂</w:t>
      </w:r>
      <w:r>
        <w:rPr>
          <w:rFonts w:hint="eastAsia" w:ascii="宋体" w:hAnsi="宋体" w:eastAsia="宋体" w:cs="宋体"/>
          <w:color w:val="auto"/>
          <w:sz w:val="24"/>
          <w:szCs w:val="24"/>
          <w:highlight w:val="none"/>
          <w:lang w:val="en-US" w:eastAsia="zh-CN"/>
        </w:rPr>
        <w:t xml:space="preserve">仓库</w:t>
      </w:r>
      <w:r>
        <w:rPr>
          <w:rFonts w:hint="eastAsia" w:ascii="宋体" w:hAnsi="宋体" w:eastAsia="宋体" w:cs="宋体"/>
          <w:color w:val="auto"/>
          <w:sz w:val="24"/>
          <w:szCs w:val="24"/>
          <w:highlight w:val="none"/>
        </w:rPr>
        <w:t xml:space="preserve">。</w:t>
      </w:r>
      <w:r/>
    </w:p>
    <w:p>
      <w:pPr>
        <w:ind w:righ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配送人员：需为中标人本公司人员，签订劳动合同，持有效健康证，每年1次健康体检，合格后方可上岗；</w:t>
      </w:r>
      <w:r/>
    </w:p>
    <w:p>
      <w:pPr>
        <w:ind w:righ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若采购人要求菜品深加工，需安排持有效健康证明的工人操作（可进入食堂或按要求在市场加工）。</w:t>
      </w:r>
      <w:r/>
    </w:p>
    <w:p>
      <w:pPr>
        <w:ind w:righ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配送车辆：需使用专用食品采购车，中标人名下该类食材专用车辆不少于 1 辆，具备合法手续及有效行驶证；</w:t>
      </w:r>
      <w:r/>
    </w:p>
    <w:p>
      <w:pPr>
        <w:ind w:righ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食材需密封包装；夏季（5月1日</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10月</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0日）用冷藏车配送，防止高温变质。</w:t>
      </w:r>
      <w:r/>
    </w:p>
    <w:p>
      <w:pPr>
        <w:ind w:righ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（二）供应流程与时效</w:t>
      </w:r>
      <w:r/>
    </w:p>
    <w:p>
      <w:pPr>
        <w:ind w:righ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订单与供货：采购人提前 1 天提供订单，明确数量；中标人需按订单购齐食材，在规定时间送至指定地点验收，不得拒绝供应、随意变更订单；特殊情况无法及时供应的，需提前通知采购人并获许可后调整。紧急勤务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特殊情况：接采购人电话通知后60 分钟内完成紧急配送。</w:t>
      </w:r>
      <w:r/>
    </w:p>
    <w:p>
      <w:pPr>
        <w:ind w:right="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rPr>
        <w:t xml:space="preserve">、验收与计量要求</w:t>
      </w:r>
      <w:r/>
    </w:p>
    <w:p>
      <w:pPr>
        <w:ind w:righ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中标人负责装卸货品至采购人仓库</w:t>
      </w:r>
      <w:r>
        <w:rPr>
          <w:rFonts w:hint="eastAsia" w:ascii="宋体" w:hAnsi="宋体" w:eastAsia="宋体" w:cs="宋体"/>
          <w:color w:val="auto"/>
          <w:sz w:val="24"/>
          <w:szCs w:val="24"/>
          <w:highlight w:val="none"/>
          <w:lang w:val="en-US" w:eastAsia="zh-CN"/>
        </w:rPr>
        <w:t xml:space="preserve">自备送货推车并按采购人要求</w:t>
      </w:r>
      <w:r>
        <w:rPr>
          <w:rFonts w:hint="eastAsia" w:ascii="宋体" w:hAnsi="宋体" w:eastAsia="宋体" w:cs="宋体"/>
          <w:color w:val="auto"/>
          <w:sz w:val="24"/>
          <w:szCs w:val="24"/>
          <w:highlight w:val="none"/>
        </w:rPr>
        <w:t xml:space="preserve">摆放；采购</w:t>
      </w:r>
      <w:r>
        <w:rPr>
          <w:rFonts w:hint="eastAsia" w:ascii="宋体" w:hAnsi="宋体" w:eastAsia="宋体" w:cs="宋体"/>
          <w:color w:val="auto"/>
          <w:sz w:val="24"/>
          <w:szCs w:val="24"/>
          <w:highlight w:val="none"/>
        </w:rPr>
        <w:t xml:space="preserve">人与中标人共同验收，签字确认，验收时需提供供货清单；</w:t>
      </w:r>
      <w:r/>
    </w:p>
    <w:p>
      <w:pPr>
        <w:ind w:righ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验收依据：</w:t>
      </w:r>
      <w:r>
        <w:rPr>
          <w:rFonts w:hint="eastAsia" w:ascii="宋体" w:hAnsi="宋体" w:eastAsia="宋体" w:cs="宋体"/>
          <w:color w:val="auto"/>
          <w:sz w:val="24"/>
          <w:szCs w:val="24"/>
          <w:highlight w:val="none"/>
          <w:lang w:val="en-US" w:eastAsia="zh-CN"/>
        </w:rPr>
        <w:t xml:space="preserve">按照</w:t>
      </w:r>
      <w:r>
        <w:rPr>
          <w:rFonts w:hint="eastAsia" w:ascii="宋体" w:hAnsi="宋体" w:eastAsia="宋体" w:cs="宋体"/>
          <w:color w:val="auto"/>
          <w:sz w:val="24"/>
          <w:szCs w:val="24"/>
          <w:highlight w:val="none"/>
        </w:rPr>
        <w:t xml:space="preserve">国家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行业标准</w:t>
      </w:r>
      <w:r>
        <w:rPr>
          <w:rFonts w:hint="eastAsia" w:ascii="宋体" w:hAnsi="宋体" w:eastAsia="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rPr>
        <w:t xml:space="preserve">采购人要求</w:t>
      </w:r>
      <w:r>
        <w:rPr>
          <w:rFonts w:hint="eastAsia" w:ascii="宋体" w:hAnsi="宋体" w:eastAsia="宋体" w:cs="宋体"/>
          <w:color w:val="auto"/>
          <w:sz w:val="24"/>
          <w:szCs w:val="24"/>
          <w:highlight w:val="none"/>
          <w:lang w:val="en-US" w:eastAsia="zh-CN"/>
        </w:rPr>
        <w:t xml:space="preserve">进行验收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采购人填写</w:t>
      </w:r>
      <w:r>
        <w:rPr>
          <w:rFonts w:hint="eastAsia" w:ascii="宋体" w:hAnsi="宋体" w:eastAsia="宋体" w:cs="宋体"/>
          <w:color w:val="auto"/>
          <w:sz w:val="24"/>
          <w:szCs w:val="24"/>
          <w:highlight w:val="none"/>
        </w:rPr>
        <w:t xml:space="preserve">食材供应评价意见表。</w:t>
      </w:r>
      <w:r/>
    </w:p>
    <w:p>
      <w:pPr>
        <w:ind w:right="0"/>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验收违约处理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如出现产品</w:t>
      </w:r>
      <w:r>
        <w:rPr>
          <w:rFonts w:hint="eastAsia" w:ascii="宋体" w:hAnsi="宋体" w:eastAsia="宋体" w:cs="宋体"/>
          <w:color w:val="auto"/>
          <w:sz w:val="24"/>
          <w:szCs w:val="24"/>
          <w:highlight w:val="none"/>
        </w:rPr>
        <w:t xml:space="preserve">质量</w:t>
      </w:r>
      <w:r>
        <w:rPr>
          <w:rFonts w:hint="eastAsia" w:ascii="宋体" w:hAnsi="宋体" w:eastAsia="宋体" w:cs="宋体"/>
          <w:color w:val="auto"/>
          <w:sz w:val="24"/>
          <w:szCs w:val="24"/>
          <w:highlight w:val="none"/>
          <w:lang w:val="en-US" w:eastAsia="zh-CN"/>
        </w:rPr>
        <w:t xml:space="preserve">或数量不足等</w:t>
      </w:r>
      <w:r>
        <w:rPr>
          <w:rFonts w:hint="eastAsia" w:ascii="宋体" w:hAnsi="宋体" w:eastAsia="宋体" w:cs="宋体"/>
          <w:color w:val="auto"/>
          <w:sz w:val="24"/>
          <w:szCs w:val="24"/>
          <w:highlight w:val="none"/>
        </w:rPr>
        <w:t xml:space="preserve">问题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中标人需及时调换增补，损失自行承担；因货品不合格导致采购人紧急采购：产生的损失和费用由中标人承担，并处履约保证金 20% 的处罚；合同期内累计 2 次质量问题：采购人有权解除合同</w:t>
      </w:r>
      <w:r>
        <w:rPr>
          <w:rFonts w:hint="eastAsia" w:ascii="宋体" w:hAnsi="宋体" w:eastAsia="宋体" w:cs="宋体"/>
          <w:color w:val="auto"/>
          <w:sz w:val="24"/>
          <w:szCs w:val="24"/>
          <w:highlight w:val="none"/>
          <w:lang w:eastAsia="zh-CN"/>
        </w:rPr>
        <w:t xml:space="preserve">。</w:t>
      </w:r>
      <w:r/>
    </w:p>
    <w:p>
      <w:pPr>
        <w:ind w:right="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rPr>
        <w:t xml:space="preserve">、关于投标报价的相关说明</w:t>
      </w:r>
      <w:r/>
    </w:p>
    <w:p>
      <w:pPr>
        <w:ind w:righ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1、本项目按照优惠率进行投标报价，不接受低于或等于0.00%的</w:t>
      </w:r>
      <w:r>
        <w:rPr>
          <w:rFonts w:hint="eastAsia" w:ascii="宋体" w:hAnsi="宋体" w:eastAsia="宋体" w:cs="宋体"/>
          <w:color w:val="auto"/>
          <w:sz w:val="24"/>
          <w:szCs w:val="24"/>
          <w:highlight w:val="none"/>
          <w:lang w:val="en-US" w:eastAsia="zh-CN"/>
        </w:rPr>
        <w:t xml:space="preserve">综合</w:t>
      </w:r>
      <w:r>
        <w:rPr>
          <w:rFonts w:hint="eastAsia" w:ascii="宋体" w:hAnsi="宋体" w:eastAsia="宋体" w:cs="宋体"/>
          <w:color w:val="auto"/>
          <w:sz w:val="24"/>
          <w:szCs w:val="24"/>
          <w:highlight w:val="none"/>
        </w:rPr>
        <w:t xml:space="preserve">优惠率</w:t>
      </w:r>
      <w:r>
        <w:rPr>
          <w:rFonts w:hint="eastAsia" w:ascii="宋体" w:hAnsi="宋体" w:eastAsia="宋体" w:cs="宋体"/>
          <w:color w:val="auto"/>
          <w:sz w:val="24"/>
          <w:szCs w:val="24"/>
          <w:highlight w:val="none"/>
        </w:rPr>
        <w:t xml:space="preserve">的投标报价。采购人不再支付报价以外的任何费用。采购人不再支付报价以外的任何费用。结算单价=基准单价×</w:t>
      </w:r>
      <w:r>
        <w:rPr>
          <w:rFonts w:hint="eastAsia" w:ascii="宋体" w:hAnsi="宋体" w:eastAsia="宋体" w:cs="宋体"/>
          <w:color w:val="auto"/>
          <w:sz w:val="24"/>
          <w:szCs w:val="24"/>
          <w:highlight w:val="none"/>
        </w:rPr>
        <w:t xml:space="preserve">（1-中标优惠率）</w:t>
      </w:r>
      <w:r>
        <w:rPr>
          <w:rFonts w:hint="eastAsia" w:ascii="宋体" w:hAnsi="宋体" w:eastAsia="宋体" w:cs="宋体"/>
          <w:color w:val="auto"/>
          <w:sz w:val="24"/>
          <w:szCs w:val="24"/>
          <w:highlight w:val="none"/>
        </w:rPr>
        <w:t xml:space="preserve">。</w:t>
      </w:r>
      <w:r/>
    </w:p>
    <w:p>
      <w:pPr>
        <w:ind w:righ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2、按照以下优先顺序确定基准单价</w:t>
      </w:r>
      <w:r/>
    </w:p>
    <w:p>
      <w:pPr>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（1）采购包1-</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以徐州市发展和改革委员会网站“民生均价监测”上最新公布的同类食材平均单价作为基准价；</w:t>
      </w:r>
      <w:r/>
    </w:p>
    <w:p>
      <w:pPr>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）如上述网站未有的食材，以甲方人员组成的询价小组于每周五在徐州农副产品批发市场</w:t>
      </w:r>
      <w:r>
        <w:rPr>
          <w:rFonts w:hint="eastAsia" w:ascii="宋体" w:hAnsi="宋体" w:cs="宋体"/>
          <w:color w:val="auto"/>
          <w:sz w:val="24"/>
          <w:szCs w:val="24"/>
          <w:highlight w:val="none"/>
          <w:lang w:val="en-US" w:eastAsia="zh-CN"/>
        </w:rPr>
        <w:t xml:space="preserve">或徐州雨润农副产品全球采购中心</w:t>
      </w:r>
      <w:r>
        <w:rPr>
          <w:rFonts w:hint="eastAsia" w:ascii="宋体" w:hAnsi="宋体" w:eastAsia="宋体" w:cs="宋体"/>
          <w:color w:val="auto"/>
          <w:sz w:val="24"/>
          <w:szCs w:val="24"/>
          <w:highlight w:val="none"/>
          <w:lang w:val="en-US" w:eastAsia="zh-CN"/>
        </w:rPr>
        <w:t xml:space="preserve">采集的食材价格的单价作为下周的基准价；</w:t>
      </w:r>
      <w:r/>
    </w:p>
    <w:p>
      <w:pPr>
        <w:keepLines w:val="0"/>
        <w:keepNext w:val="0"/>
        <w:pageBreakBefore w:val="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）如上述还未有的商品，以供应商的批发采购处的的同类菜品零售价为基准单价。</w:t>
      </w:r>
      <w:r/>
    </w:p>
    <w:p>
      <w:pPr>
        <w:ind w:right="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3、结算单价=基准单价×（1-中标优惠率），但不得超出基准单价</w:t>
      </w:r>
      <w:r>
        <w:rPr>
          <w:rFonts w:hint="eastAsia" w:ascii="宋体" w:hAnsi="宋体" w:cs="宋体"/>
          <w:color w:val="auto"/>
          <w:sz w:val="24"/>
          <w:szCs w:val="24"/>
          <w:highlight w:val="none"/>
          <w:lang w:val="en-US" w:eastAsia="zh-CN"/>
        </w:rPr>
        <w:t xml:space="preserve">。</w:t>
      </w:r>
      <w:r/>
    </w:p>
    <w:p>
      <w:pPr>
        <w:ind w:righ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4、中标人应按采购人需求进行每日配送。不得以任何理由拒绝。</w:t>
      </w:r>
      <w:r/>
    </w:p>
    <w:p>
      <w:pPr>
        <w:pStyle w:val="926"/>
        <w:ind w:righ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5、按</w:t>
      </w:r>
      <w:r>
        <w:rPr>
          <w:rFonts w:hint="eastAsia" w:ascii="宋体" w:hAnsi="宋体" w:eastAsia="宋体" w:cs="宋体"/>
          <w:color w:val="auto"/>
          <w:sz w:val="24"/>
          <w:szCs w:val="24"/>
          <w:highlight w:val="none"/>
          <w:lang w:val="en-US" w:eastAsia="zh-CN"/>
        </w:rPr>
        <w:t xml:space="preserve">月</w:t>
      </w:r>
      <w:r>
        <w:rPr>
          <w:rFonts w:hint="eastAsia" w:ascii="宋体" w:hAnsi="宋体" w:eastAsia="宋体" w:cs="宋体"/>
          <w:color w:val="auto"/>
          <w:sz w:val="24"/>
          <w:szCs w:val="24"/>
          <w:highlight w:val="none"/>
        </w:rPr>
        <w:t xml:space="preserve">计算应付金额，结算数量以采购人每日签字确认为准，</w:t>
      </w:r>
      <w:r>
        <w:rPr>
          <w:rFonts w:hint="eastAsia" w:ascii="宋体" w:hAnsi="宋体" w:eastAsia="宋体" w:cs="宋体"/>
          <w:color w:val="auto"/>
          <w:sz w:val="24"/>
          <w:szCs w:val="24"/>
          <w:highlight w:val="none"/>
        </w:rPr>
        <w:t xml:space="preserve">次月付款。</w:t>
      </w:r>
      <w:r/>
    </w:p>
    <w:p>
      <w:pPr>
        <w:pStyle w:val="911"/>
        <w:ind w:left="0" w:righ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6、中标人需向采购人提供合法有效的发票。</w:t>
      </w:r>
      <w:r/>
    </w:p>
    <w:p>
      <w:pPr>
        <w:ind w:righ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7、结算单价包括但不限于所有成本费、运输费、人工费、保险费、检查费、检验费、税费（采购人认可的有效增值税普通发票）以及服务期内的所有相关食品采购、检验费用在内的采购人指定地点交货全包价。</w:t>
      </w:r>
      <w:r/>
    </w:p>
    <w:p>
      <w:pPr>
        <w:ind w:righ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8、报价需充分考虑合同期限内的市场因素和成本变化状况的风险。</w:t>
      </w:r>
      <w:r/>
    </w:p>
    <w:p>
      <w:pPr>
        <w:spacing w:line="360" w:lineRule="auto"/>
        <w:rPr>
          <w:rFonts w:hint="eastAsia" w:ascii="宋体" w:hAnsi="宋体" w:eastAsia="宋体" w:cs="宋体"/>
          <w:b w:val="0"/>
          <w:bCs/>
          <w:color w:val="auto"/>
          <w:sz w:val="24"/>
          <w:szCs w:val="24"/>
          <w:highlight w:val="none"/>
        </w:rPr>
      </w:pPr>
      <w:r>
        <w:rPr>
          <w:rFonts w:hint="eastAsia" w:ascii="宋体" w:hAnsi="宋体" w:cs="宋体"/>
          <w:b w:val="0"/>
          <w:bCs/>
          <w:color w:val="auto"/>
          <w:sz w:val="24"/>
          <w:szCs w:val="24"/>
          <w:highlight w:val="none"/>
          <w:lang w:val="en-US" w:eastAsia="zh-CN"/>
        </w:rPr>
        <w:t xml:space="preserve">9</w:t>
      </w:r>
      <w:r>
        <w:rPr>
          <w:rFonts w:hint="eastAsia" w:ascii="宋体" w:hAnsi="宋体" w:eastAsia="宋体" w:cs="宋体"/>
          <w:b w:val="0"/>
          <w:bCs/>
          <w:color w:val="auto"/>
          <w:sz w:val="24"/>
          <w:szCs w:val="24"/>
          <w:highlight w:val="none"/>
        </w:rPr>
        <w:t xml:space="preserve">、自主采购要求：在本项目履约期间，若采购人针对中标人所供应的同一规格型号单一商品，连续两次进行市场询价或比价，且两次询价结果的平均价格低于中标人当前供应价格，采购人与中标人协商无果后，采购人有权对该单一商品行使自行采购权。</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说明：</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关于投标报价的相关说明”为不允许偏离的实质性要求和条件，如有偏离，在符合性审查时按照投标无效处理。</w:t>
      </w:r>
      <w:r/>
    </w:p>
    <w:p>
      <w:pPr>
        <w:pStyle w:val="926"/>
        <w:ind w:right="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八、临期产品退换要求</w:t>
      </w:r>
      <w:r/>
    </w:p>
    <w:p>
      <w:pPr>
        <w:pStyle w:val="926"/>
        <w:ind w:right="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1、临期标准界定：根据商品品类及保质期差异，临期节点按以下标准划分，双方可根据具体商品特性另行约定补充标准：</w:t>
      </w:r>
      <w:r/>
    </w:p>
    <w:p>
      <w:pPr>
        <w:pStyle w:val="926"/>
        <w:ind w:right="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（1）保质期1年及以上的商品：剩余保质期不足3个月；</w:t>
      </w:r>
      <w:r/>
    </w:p>
    <w:p>
      <w:pPr>
        <w:pStyle w:val="926"/>
        <w:ind w:right="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（2）保质期6个月-1年（不含1年） 的商品：剩余保质期不足2个月；</w:t>
      </w:r>
      <w:r/>
    </w:p>
    <w:p>
      <w:pPr>
        <w:pStyle w:val="926"/>
        <w:ind w:right="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（3）保质期3个月-6个月（不含6个月） 的商品：剩余保质期不足1个月；</w:t>
      </w:r>
      <w:r/>
    </w:p>
    <w:p>
      <w:pPr>
        <w:pStyle w:val="926"/>
        <w:ind w:right="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（4）保质期3个月以内的商品：剩余保质期不足15天。</w:t>
      </w:r>
      <w:r/>
    </w:p>
    <w:p>
      <w:pPr>
        <w:pStyle w:val="926"/>
        <w:ind w:right="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2、临期产品申报与确认：</w:t>
      </w:r>
      <w:r/>
    </w:p>
    <w:p>
      <w:pPr>
        <w:pStyle w:val="926"/>
        <w:ind w:right="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（1）甲方需每周对乙方供应的商品进行临期排查，发现临期产品后2个工作日内，通过双方约定的系统提交《临期产品申报单》，注明商品名称、规格、数量、当前保质期剩余时长及库存位置；</w:t>
      </w:r>
      <w:r/>
    </w:p>
    <w:p>
      <w:pPr>
        <w:pStyle w:val="926"/>
        <w:ind w:right="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（2）乙方需在收到申报单后1个工作日内完成核对，确认无误后回复甲方；若对临期判定有异议，需同步提供依据，双方应在24小时内协商达成一致，逾期未提出异议视为默认。</w:t>
      </w:r>
      <w:r/>
    </w:p>
    <w:p>
      <w:pPr>
        <w:pStyle w:val="926"/>
        <w:ind w:right="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3、换货与退货选择及执行：</w:t>
      </w:r>
      <w:r/>
    </w:p>
    <w:p>
      <w:pPr>
        <w:pStyle w:val="926"/>
        <w:ind w:right="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（1）换货方式：乙方需在确认临期后3个工作日内，到甲方门店提取临期产品，并同步送达同等规格、数量、且剩余保质期不低于总保质期2/3的全新合格商品；换货过程中产生的运输、搬运费用由乙方承担；</w:t>
      </w:r>
      <w:r/>
    </w:p>
    <w:p>
      <w:pPr>
        <w:pStyle w:val="926"/>
        <w:ind w:right="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（2）退货方式：若甲方选择退货，在乙方提取临期产品并验收无误后，在次月货款结算中删减对应货品金额。</w:t>
      </w:r>
      <w:r/>
    </w:p>
    <w:p>
      <w:pPr>
        <w:spacing w:line="360" w:lineRule="auto"/>
        <w:rPr>
          <w:rStyle w:val="933"/>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lang w:val="en-US" w:eastAsia="zh-CN"/>
        </w:rPr>
        <w:t xml:space="preserve">九</w:t>
      </w:r>
      <w:r>
        <w:rPr>
          <w:rFonts w:hint="eastAsia" w:ascii="宋体" w:hAnsi="宋体" w:eastAsia="宋体" w:cs="宋体"/>
          <w:b/>
          <w:color w:val="auto"/>
          <w:sz w:val="24"/>
          <w:szCs w:val="24"/>
          <w:highlight w:val="none"/>
        </w:rPr>
        <w:t xml:space="preserve">、其它要求：见招标文件第五章《拟签订的合同文本》。</w:t>
      </w:r>
      <w:r/>
    </w:p>
    <w:p>
      <w:pPr>
        <w:ind w:firstLine="482"/>
        <w:spacing w:line="288" w:lineRule="auto"/>
        <w:rPr>
          <w:rFonts w:ascii="宋体" w:hAnsi="宋体" w:cs="宋体"/>
          <w:b/>
          <w:color w:val="auto"/>
          <w:highlight w:val="none"/>
        </w:rPr>
      </w:pPr>
      <w:r>
        <w:rPr>
          <w:rFonts w:ascii="宋体" w:hAnsi="宋体" w:cs="宋体"/>
          <w:b/>
          <w:color w:val="auto"/>
          <w:highlight w:val="none"/>
        </w:rPr>
      </w:r>
      <w:r/>
    </w:p>
    <w:p>
      <w:pPr>
        <w:ind w:firstLine="602"/>
        <w:jc w:val="center"/>
        <w:spacing w:line="239" w:lineRule="atLeast"/>
        <w:rPr>
          <w:rFonts w:ascii="宋体" w:hAnsi="宋体" w:cs="宋体"/>
          <w:b/>
          <w:color w:val="auto"/>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ascii="宋体" w:hAnsi="宋体" w:cs="宋体"/>
          <w:b/>
          <w:color w:val="auto"/>
          <w:sz w:val="24"/>
          <w:highlight w:val="none"/>
        </w:rPr>
      </w:r>
      <w:r/>
    </w:p>
    <w:p>
      <w:pPr>
        <w:jc w:val="center"/>
        <w:spacing w:line="360" w:lineRule="auto"/>
        <w:rPr>
          <w:rFonts w:ascii="宋体" w:hAnsi="宋体" w:cs="宋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0"/>
          <w:szCs w:val="30"/>
          <w:highlight w:val="none"/>
        </w:rPr>
        <w:t xml:space="preserve">第七章 投标文件相关格式</w:t>
      </w:r>
      <w:r/>
    </w:p>
    <w:p>
      <w:pPr>
        <w:ind w:firstLine="640"/>
        <w:jc w:val="center"/>
        <w:spacing w:line="239"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p>
      <w:pPr>
        <w:ind w:firstLine="640"/>
        <w:jc w:val="center"/>
        <w:spacing w:line="360" w:lineRule="auto"/>
        <w:rPr>
          <w:rFonts w:ascii="宋体" w:hAnsi="宋体" w:cs="宋体"/>
          <w:b/>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highlight w:val="none"/>
        </w:rPr>
        <w:t xml:space="preserve">一、投标函格式</w:t>
      </w:r>
      <w:r/>
    </w:p>
    <w:p>
      <w:pPr>
        <w:keepLines w:val="0"/>
        <w:keepNext w:val="0"/>
        <w:pageBreakBefore w:val="0"/>
        <w:spacing w:line="440" w:lineRule="exact"/>
        <w:widowControl w:val="off"/>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致：</w:t>
      </w:r>
      <w:r>
        <w:rPr>
          <w:rFonts w:hint="eastAsia" w:ascii="宋体" w:hAnsi="宋体" w:cs="宋体"/>
          <w:color w:val="auto"/>
          <w:sz w:val="28"/>
          <w:szCs w:val="28"/>
          <w:highlight w:val="none"/>
          <w:u w:val="single"/>
          <w:lang w:eastAsia="zh-CN"/>
        </w:rPr>
        <w:t xml:space="preserve">徐州市第一人民医院</w:t>
      </w:r>
      <w:r/>
    </w:p>
    <w:p>
      <w:pPr>
        <w:ind w:firstLine="600"/>
        <w:keepLines w:val="0"/>
        <w:keepNext w:val="0"/>
        <w:pageBreakBefore w:val="0"/>
        <w:spacing w:line="440" w:lineRule="exact"/>
        <w:widowControl w:val="off"/>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根据</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项目[项目编号：</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]招标文件，</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(姓名)代表我方</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（投标人的名称）全权处理本次投标的有关事宜。</w:t>
      </w:r>
      <w:r/>
    </w:p>
    <w:p>
      <w:pPr>
        <w:ind w:firstLine="600"/>
        <w:keepLines w:val="0"/>
        <w:keepNext w:val="0"/>
        <w:pageBreakBefore w:val="0"/>
        <w:spacing w:line="440" w:lineRule="exact"/>
        <w:widowControl w:val="off"/>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据此函，投标人承诺并同意如下： </w:t>
      </w:r>
      <w:r/>
    </w:p>
    <w:p>
      <w:pPr>
        <w:ind w:firstLine="560"/>
        <w:keepLines w:val="0"/>
        <w:keepNext w:val="0"/>
        <w:pageBreakBefore w:val="0"/>
        <w:spacing w:line="440" w:lineRule="exact"/>
        <w:widowControl w:val="off"/>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投标人唯一投标报价见《开标一览表》。</w:t>
      </w:r>
      <w:r/>
    </w:p>
    <w:p>
      <w:pPr>
        <w:ind w:firstLine="560"/>
        <w:keepLines w:val="0"/>
        <w:keepNext w:val="0"/>
        <w:pageBreakBefore w:val="0"/>
        <w:spacing w:line="440" w:lineRule="exact"/>
        <w:widowControl w:val="off"/>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2、投标人将按招标文件的规定履行合同责任和义务。</w:t>
      </w:r>
      <w:r/>
    </w:p>
    <w:p>
      <w:pPr>
        <w:ind w:firstLine="560"/>
        <w:keepLines w:val="0"/>
        <w:keepNext w:val="0"/>
        <w:pageBreakBefore w:val="0"/>
        <w:spacing w:line="440" w:lineRule="exact"/>
        <w:widowControl w:val="off"/>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3、投标人已详细审查全部招标文件，包括第[插入编号] [补遗书][如果有的话]。投标人完全理解并同意放弃对这方面有不明及误解的权力。</w:t>
      </w:r>
      <w:r/>
    </w:p>
    <w:p>
      <w:pPr>
        <w:ind w:firstLine="560"/>
        <w:keepLines w:val="0"/>
        <w:keepNext w:val="0"/>
        <w:pageBreakBefore w:val="0"/>
        <w:spacing w:line="440" w:lineRule="exact"/>
        <w:widowControl w:val="off"/>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4、投标有效期为开标之日后90天。</w:t>
      </w:r>
      <w:r/>
    </w:p>
    <w:p>
      <w:pPr>
        <w:ind w:firstLine="560"/>
        <w:keepLines w:val="0"/>
        <w:keepNext w:val="0"/>
        <w:pageBreakBefore w:val="0"/>
        <w:spacing w:line="440" w:lineRule="exact"/>
        <w:widowControl w:val="off"/>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5、投标人同意提供按照贵方可能要求的与其投标有关的一切数据或资料，完全理解贵方不一定接受最低价的投标或收到的任何投标。</w:t>
      </w:r>
      <w:r/>
    </w:p>
    <w:p>
      <w:pPr>
        <w:ind w:firstLine="560"/>
        <w:keepLines w:val="0"/>
        <w:keepNext w:val="0"/>
        <w:pageBreakBefore w:val="0"/>
        <w:spacing w:line="440" w:lineRule="exact"/>
        <w:widowControl w:val="off"/>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6、采购人或采购代理机构有权将我单位本项目的《开标一览表》和《分项价格表》予以公示，公示的方式由采购人或采购代理机构确定。</w:t>
      </w:r>
      <w:r/>
    </w:p>
    <w:p>
      <w:pPr>
        <w:ind w:firstLine="560"/>
        <w:keepLines w:val="0"/>
        <w:keepNext w:val="0"/>
        <w:pageBreakBefore w:val="0"/>
        <w:spacing w:line="440" w:lineRule="exact"/>
        <w:widowControl w:val="off"/>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7、投标人承诺中标后同意按照招标文件规定支付招标代理服务费。</w:t>
      </w:r>
      <w:r/>
    </w:p>
    <w:p>
      <w:pPr>
        <w:ind w:firstLine="560"/>
        <w:keepLines w:val="0"/>
        <w:keepNext w:val="0"/>
        <w:pageBreakBefore w:val="0"/>
        <w:spacing w:line="440" w:lineRule="exact"/>
        <w:widowControl w:val="off"/>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8、采购人有权对投标人投标文件的真实性进行核实，如投标人不能在采购人规定的时间内向采购人提供有效的证明文件，将被采购人视为放弃中标资格。</w:t>
      </w:r>
      <w:r/>
    </w:p>
    <w:p>
      <w:pPr>
        <w:ind w:firstLine="560"/>
        <w:keepLines w:val="0"/>
        <w:keepNext w:val="0"/>
        <w:pageBreakBefore w:val="0"/>
        <w:spacing w:line="440" w:lineRule="exact"/>
        <w:widowControl w:val="off"/>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9、与本投标有关的一切正式往来信函请寄：</w:t>
      </w:r>
      <w:r/>
    </w:p>
    <w:p>
      <w:pPr>
        <w:ind w:firstLine="560"/>
        <w:keepLines w:val="0"/>
        <w:keepNext w:val="0"/>
        <w:pageBreakBefore w:val="0"/>
        <w:spacing w:line="440" w:lineRule="exact"/>
        <w:widowControl w:val="off"/>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地址： </w:t>
      </w:r>
      <w:r/>
    </w:p>
    <w:p>
      <w:pPr>
        <w:ind w:firstLine="560"/>
        <w:keepLines w:val="0"/>
        <w:keepNext w:val="0"/>
        <w:pageBreakBefore w:val="0"/>
        <w:spacing w:line="440" w:lineRule="exact"/>
        <w:widowControl w:val="off"/>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电话： </w:t>
      </w:r>
      <w:r/>
    </w:p>
    <w:p>
      <w:pPr>
        <w:ind w:firstLine="560"/>
        <w:keepLines w:val="0"/>
        <w:keepNext w:val="0"/>
        <w:pageBreakBefore w:val="0"/>
        <w:spacing w:line="440" w:lineRule="exact"/>
        <w:widowControl w:val="off"/>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传真： </w:t>
      </w:r>
      <w:r/>
    </w:p>
    <w:p>
      <w:pPr>
        <w:ind w:firstLine="2700"/>
        <w:keepLines w:val="0"/>
        <w:keepNext w:val="0"/>
        <w:pageBreakBefore w:val="0"/>
        <w:spacing w:line="440" w:lineRule="exact"/>
        <w:widowControl w:val="off"/>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投标人：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（电子签章）</w:t>
      </w:r>
      <w:r/>
    </w:p>
    <w:p>
      <w:pPr>
        <w:ind w:firstLine="2700"/>
        <w:keepLines w:val="0"/>
        <w:keepNext w:val="0"/>
        <w:pageBreakBefore w:val="0"/>
        <w:spacing w:line="440" w:lineRule="exact"/>
        <w:widowControl w:val="off"/>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p>
      <w:pPr>
        <w:ind w:firstLine="2700"/>
        <w:keepLines w:val="0"/>
        <w:keepNext w:val="0"/>
        <w:pageBreakBefore w:val="0"/>
        <w:spacing w:line="440" w:lineRule="exact"/>
        <w:widowControl w:val="off"/>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日期：  年 月 日</w:t>
      </w:r>
      <w:r/>
    </w:p>
    <w:p>
      <w:pPr>
        <w:jc w:val="center"/>
        <w:spacing w:line="360" w:lineRule="auto"/>
        <w:rPr>
          <w:rFonts w:ascii="宋体" w:hAnsi="宋体" w:cs="宋体"/>
          <w:b/>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18"/>
          <w:highlight w:val="none"/>
        </w:rPr>
        <w:br w:type="page" w:clear="all"/>
      </w:r>
      <w:r>
        <w:rPr>
          <w:rFonts w:hint="eastAsia" w:ascii="宋体" w:hAnsi="宋体" w:cs="宋体"/>
          <w:b/>
          <w:bCs/>
          <w:color w:val="auto"/>
          <w:sz w:val="30"/>
          <w:szCs w:val="30"/>
          <w:highlight w:val="none"/>
        </w:rPr>
        <w:t xml:space="preserve">二、开标一览表格式</w:t>
      </w:r>
      <w:r/>
    </w:p>
    <w:p>
      <w:pPr>
        <w:spacing w:line="479" w:lineRule="atLeast"/>
        <w:rPr>
          <w:rFonts w:ascii="宋体" w:hAnsi="宋体" w:cs="宋体"/>
          <w:color w:val="auto"/>
          <w:sz w:val="1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项目编号：</w:t>
      </w:r>
      <w:r/>
    </w:p>
    <w:p>
      <w:pPr>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项目名称： </w:t>
      </w:r>
      <w:r/>
    </w:p>
    <w:tbl>
      <w:tblPr>
        <w:tblStyle w:val="906"/>
        <w:tblW w:w="8753" w:type="dxa"/>
        <w:tblInd w:w="-3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818"/>
        <w:gridCol w:w="2317"/>
        <w:gridCol w:w="2618"/>
      </w:tblGrid>
      <w:tr>
        <w:trPr>
          <w:trHeight w:val="1163"/>
        </w:trPr>
        <w:tc>
          <w:tcPr>
            <w:tcMar>
              <w:left w:w="108" w:type="dxa"/>
              <w:top w:w="0" w:type="dxa"/>
              <w:right w:w="108" w:type="dxa"/>
              <w:bottom w:w="0" w:type="dxa"/>
            </w:tcMar>
            <w:tcW w:w="3818" w:type="dxa"/>
            <w:vAlign w:val="center"/>
            <w:textDirection w:val="lrTb"/>
            <w:noWrap w:val="false"/>
          </w:tcPr>
          <w:p>
            <w:pPr>
              <w:jc w:val="center"/>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项目名称</w:t>
            </w:r>
            <w:r/>
          </w:p>
        </w:tc>
        <w:tc>
          <w:tcPr>
            <w:tcMar>
              <w:left w:w="108" w:type="dxa"/>
              <w:top w:w="0" w:type="dxa"/>
              <w:right w:w="108" w:type="dxa"/>
              <w:bottom w:w="0" w:type="dxa"/>
            </w:tcMar>
            <w:tcW w:w="2317" w:type="dxa"/>
            <w:vAlign w:val="center"/>
            <w:textDirection w:val="lrTb"/>
            <w:noWrap w:val="false"/>
          </w:tcPr>
          <w:p>
            <w:pPr>
              <w:jc w:val="center"/>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项目内容</w:t>
            </w:r>
            <w:r/>
          </w:p>
        </w:tc>
        <w:tc>
          <w:tcPr>
            <w:tcMar>
              <w:left w:w="108" w:type="dxa"/>
              <w:top w:w="0" w:type="dxa"/>
              <w:right w:w="108" w:type="dxa"/>
              <w:bottom w:w="0" w:type="dxa"/>
            </w:tcMar>
            <w:tcW w:w="2618" w:type="dxa"/>
            <w:vAlign w:val="center"/>
            <w:textDirection w:val="lrTb"/>
            <w:noWrap w:val="false"/>
          </w:tcPr>
          <w:p>
            <w:pPr>
              <w:jc w:val="center"/>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优惠率（%）</w:t>
            </w:r>
            <w:r/>
          </w:p>
        </w:tc>
      </w:tr>
      <w:tr>
        <w:trPr>
          <w:trHeight w:val="1214"/>
        </w:trPr>
        <w:tc>
          <w:tcPr>
            <w:tcMar>
              <w:left w:w="108" w:type="dxa"/>
              <w:top w:w="0" w:type="dxa"/>
              <w:right w:w="108" w:type="dxa"/>
              <w:bottom w:w="0" w:type="dxa"/>
            </w:tcMar>
            <w:tcW w:w="3818" w:type="dxa"/>
            <w:vAlign w:val="center"/>
            <w:textDirection w:val="lrTb"/>
            <w:noWrap w:val="false"/>
          </w:tcPr>
          <w:p>
            <w:pPr>
              <w:jc w:val="center"/>
              <w:spacing w:line="360" w:lineRule="auto"/>
              <w:rPr>
                <w:rFonts w:hint="default" w:ascii="宋体" w:hAnsi="宋体" w:eastAsia="宋体" w:cs="宋体"/>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lang w:eastAsia="zh-CN"/>
              </w:rPr>
              <w:t xml:space="preserve">徐州市第一人民医院食堂原材料采购</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val="en-US" w:eastAsia="zh-CN"/>
              </w:rPr>
              <w:t xml:space="preserve">采购包1</w:t>
            </w:r>
            <w:r/>
          </w:p>
        </w:tc>
        <w:tc>
          <w:tcPr>
            <w:tcMar>
              <w:left w:w="108" w:type="dxa"/>
              <w:top w:w="0" w:type="dxa"/>
              <w:right w:w="108" w:type="dxa"/>
              <w:bottom w:w="0" w:type="dxa"/>
            </w:tcMar>
            <w:tcW w:w="2317" w:type="dxa"/>
            <w:vAlign w:val="center"/>
            <w:textDirection w:val="lrTb"/>
            <w:noWrap w:val="false"/>
          </w:tcPr>
          <w:p>
            <w:pPr>
              <w:jc w:val="center"/>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详见投标文件</w:t>
            </w:r>
            <w:r/>
          </w:p>
        </w:tc>
        <w:tc>
          <w:tcPr>
            <w:tcMar>
              <w:left w:w="108" w:type="dxa"/>
              <w:top w:w="0" w:type="dxa"/>
              <w:right w:w="108" w:type="dxa"/>
              <w:bottom w:w="0" w:type="dxa"/>
            </w:tcMar>
            <w:tcW w:w="2618" w:type="dxa"/>
            <w:vAlign w:val="center"/>
            <w:textDirection w:val="lrTb"/>
            <w:noWrap w:val="false"/>
          </w:tcPr>
          <w:p>
            <w:pPr>
              <w:jc w:val="center"/>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tc>
      </w:tr>
      <w:tr>
        <w:trPr>
          <w:trHeight w:val="1214"/>
        </w:trPr>
        <w:tc>
          <w:tcPr>
            <w:shd w:val="clear" w:color="auto" w:fill="auto"/>
            <w:tcMar>
              <w:left w:w="108" w:type="dxa"/>
              <w:top w:w="0" w:type="dxa"/>
              <w:right w:w="108" w:type="dxa"/>
              <w:bottom w:w="0" w:type="dxa"/>
            </w:tcMar>
            <w:tcW w:w="3818" w:type="dxa"/>
            <w:vAlign w:val="center"/>
            <w:textDirection w:val="lrTb"/>
            <w:noWrap w:val="false"/>
          </w:tcPr>
          <w:p>
            <w:pPr>
              <w:jc w:val="center"/>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lang w:eastAsia="zh-CN"/>
              </w:rPr>
              <w:t xml:space="preserve">徐州市第一人民医院食堂原材料采购</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val="en-US" w:eastAsia="zh-CN"/>
              </w:rPr>
              <w:t xml:space="preserve">采购包2</w:t>
            </w:r>
            <w:r/>
          </w:p>
        </w:tc>
        <w:tc>
          <w:tcPr>
            <w:shd w:val="clear" w:color="auto" w:fill="auto"/>
            <w:tcMar>
              <w:left w:w="108" w:type="dxa"/>
              <w:top w:w="0" w:type="dxa"/>
              <w:right w:w="108" w:type="dxa"/>
              <w:bottom w:w="0" w:type="dxa"/>
            </w:tcMar>
            <w:tcW w:w="2317" w:type="dxa"/>
            <w:vAlign w:val="center"/>
            <w:textDirection w:val="lrTb"/>
            <w:noWrap w:val="false"/>
          </w:tcPr>
          <w:p>
            <w:pPr>
              <w:jc w:val="center"/>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详见投标文件</w:t>
            </w:r>
            <w:r/>
          </w:p>
        </w:tc>
        <w:tc>
          <w:tcPr>
            <w:shd w:val="clear" w:color="auto" w:fill="auto"/>
            <w:tcMar>
              <w:left w:w="108" w:type="dxa"/>
              <w:top w:w="0" w:type="dxa"/>
              <w:right w:w="108" w:type="dxa"/>
              <w:bottom w:w="0" w:type="dxa"/>
            </w:tcMar>
            <w:tcW w:w="2618" w:type="dxa"/>
            <w:vAlign w:val="center"/>
            <w:textDirection w:val="lrTb"/>
            <w:noWrap w:val="false"/>
          </w:tcPr>
          <w:p>
            <w:pPr>
              <w:jc w:val="center"/>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tc>
      </w:tr>
      <w:tr>
        <w:trPr>
          <w:trHeight w:val="1214"/>
        </w:trPr>
        <w:tc>
          <w:tcPr>
            <w:shd w:val="clear" w:color="auto" w:fill="auto"/>
            <w:tcMar>
              <w:left w:w="108" w:type="dxa"/>
              <w:top w:w="0" w:type="dxa"/>
              <w:right w:w="108" w:type="dxa"/>
              <w:bottom w:w="0" w:type="dxa"/>
            </w:tcMar>
            <w:tcW w:w="3818" w:type="dxa"/>
            <w:vAlign w:val="center"/>
            <w:textDirection w:val="lrTb"/>
            <w:noWrap w:val="false"/>
          </w:tcPr>
          <w:p>
            <w:pPr>
              <w:jc w:val="center"/>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lang w:eastAsia="zh-CN"/>
              </w:rPr>
              <w:t xml:space="preserve">徐州市第一人民医院食堂原材料采购</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val="en-US" w:eastAsia="zh-CN"/>
              </w:rPr>
              <w:t xml:space="preserve">采购包3</w:t>
            </w:r>
            <w:r/>
          </w:p>
        </w:tc>
        <w:tc>
          <w:tcPr>
            <w:shd w:val="clear" w:color="auto" w:fill="auto"/>
            <w:tcMar>
              <w:left w:w="108" w:type="dxa"/>
              <w:top w:w="0" w:type="dxa"/>
              <w:right w:w="108" w:type="dxa"/>
              <w:bottom w:w="0" w:type="dxa"/>
            </w:tcMar>
            <w:tcW w:w="2317" w:type="dxa"/>
            <w:vAlign w:val="center"/>
            <w:textDirection w:val="lrTb"/>
            <w:noWrap w:val="false"/>
          </w:tcPr>
          <w:p>
            <w:pPr>
              <w:jc w:val="center"/>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详见投标文件</w:t>
            </w:r>
            <w:r/>
          </w:p>
        </w:tc>
        <w:tc>
          <w:tcPr>
            <w:shd w:val="clear" w:color="auto" w:fill="auto"/>
            <w:tcMar>
              <w:left w:w="108" w:type="dxa"/>
              <w:top w:w="0" w:type="dxa"/>
              <w:right w:w="108" w:type="dxa"/>
              <w:bottom w:w="0" w:type="dxa"/>
            </w:tcMar>
            <w:tcW w:w="2618" w:type="dxa"/>
            <w:vAlign w:val="center"/>
            <w:textDirection w:val="lrTb"/>
            <w:noWrap w:val="false"/>
          </w:tcPr>
          <w:p>
            <w:pPr>
              <w:jc w:val="center"/>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tc>
      </w:tr>
      <w:tr>
        <w:trPr>
          <w:trHeight w:val="1214"/>
        </w:trPr>
        <w:tc>
          <w:tcPr>
            <w:shd w:val="clear" w:color="auto" w:fill="auto"/>
            <w:tcMar>
              <w:left w:w="108" w:type="dxa"/>
              <w:top w:w="0" w:type="dxa"/>
              <w:right w:w="108" w:type="dxa"/>
              <w:bottom w:w="0" w:type="dxa"/>
            </w:tcMar>
            <w:tcW w:w="3818" w:type="dxa"/>
            <w:vAlign w:val="center"/>
            <w:textDirection w:val="lrTb"/>
            <w:noWrap w:val="false"/>
          </w:tcPr>
          <w:p>
            <w:pPr>
              <w:jc w:val="center"/>
              <w:spacing w:line="360" w:lineRule="auto"/>
              <w:rPr>
                <w:rFonts w:hint="eastAsia" w:ascii="宋体" w:hAnsi="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lang w:eastAsia="zh-CN"/>
              </w:rPr>
              <w:t xml:space="preserve">徐州市第一人民医院食堂原材料采购</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val="en-US" w:eastAsia="zh-CN"/>
              </w:rPr>
              <w:t xml:space="preserve">采购包4</w:t>
            </w:r>
            <w:r/>
          </w:p>
        </w:tc>
        <w:tc>
          <w:tcPr>
            <w:shd w:val="clear" w:color="auto" w:fill="auto"/>
            <w:tcMar>
              <w:left w:w="108" w:type="dxa"/>
              <w:top w:w="0" w:type="dxa"/>
              <w:right w:w="108" w:type="dxa"/>
              <w:bottom w:w="0" w:type="dxa"/>
            </w:tcMar>
            <w:tcW w:w="2317" w:type="dxa"/>
            <w:vAlign w:val="center"/>
            <w:textDirection w:val="lrTb"/>
            <w:noWrap w:val="false"/>
          </w:tcPr>
          <w:p>
            <w:pPr>
              <w:jc w:val="center"/>
              <w:spacing w:line="360" w:lineRule="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详见投标文件</w:t>
            </w:r>
            <w:r/>
          </w:p>
        </w:tc>
        <w:tc>
          <w:tcPr>
            <w:shd w:val="clear" w:color="auto" w:fill="auto"/>
            <w:tcMar>
              <w:left w:w="108" w:type="dxa"/>
              <w:top w:w="0" w:type="dxa"/>
              <w:right w:w="108" w:type="dxa"/>
              <w:bottom w:w="0" w:type="dxa"/>
            </w:tcMar>
            <w:tcW w:w="2618" w:type="dxa"/>
            <w:vAlign w:val="center"/>
            <w:textDirection w:val="lrTb"/>
            <w:noWrap w:val="false"/>
          </w:tcPr>
          <w:p>
            <w:pPr>
              <w:jc w:val="center"/>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tc>
      </w:tr>
    </w:tbl>
    <w:p>
      <w:pPr>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p>
      <w:pPr>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投标人：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（电子签章）</w:t>
      </w:r>
      <w:r/>
    </w:p>
    <w:p>
      <w:pPr>
        <w:ind w:firstLine="3900"/>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p>
      <w:pPr>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日期：  年  月  日</w:t>
      </w:r>
      <w:r/>
    </w:p>
    <w:p>
      <w:pPr>
        <w:jc w:val="center"/>
        <w:spacing w:line="360" w:lineRule="auto"/>
        <w:rPr>
          <w:rFonts w:hint="eastAsia" w:ascii="宋体" w:hAnsi="宋体" w:cs="宋体"/>
          <w:b/>
          <w:bCs/>
          <w:color w:val="auto"/>
          <w:sz w:val="30"/>
          <w:szCs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b/>
          <w:bCs/>
          <w:color w:val="auto"/>
          <w:sz w:val="30"/>
          <w:szCs w:val="30"/>
          <w:highlight w:val="none"/>
        </w:rPr>
      </w:r>
      <w:r/>
    </w:p>
    <w:p>
      <w:pPr>
        <w:jc w:val="center"/>
        <w:spacing w:line="360" w:lineRule="auto"/>
        <w:rPr>
          <w:rFonts w:hint="eastAsia" w:ascii="宋体" w:hAnsi="宋体" w:cs="宋体"/>
          <w:b/>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highlight w:val="none"/>
        </w:rPr>
        <w:t xml:space="preserve">三、分项价格表格式</w:t>
      </w:r>
      <w:r/>
    </w:p>
    <w:p>
      <w:pPr>
        <w:ind w:firstLine="600"/>
        <w:spacing w:line="479"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p>
      <w:pP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项目编号：</w:t>
      </w:r>
      <w:r/>
    </w:p>
    <w:p>
      <w:pP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项目名称：</w:t>
      </w:r>
      <w:r/>
    </w:p>
    <w:p>
      <w:pPr>
        <w:jc w:val="both"/>
        <w:spacing w:line="360" w:lineRule="auto"/>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货币单位：</w:t>
      </w:r>
      <w:r>
        <w:rPr>
          <w:rFonts w:hint="eastAsia" w:ascii="宋体" w:hAnsi="宋体" w:cs="宋体"/>
          <w:color w:val="auto"/>
          <w:sz w:val="28"/>
          <w:szCs w:val="28"/>
          <w:highlight w:val="none"/>
          <w:lang w:val="en-US" w:eastAsia="zh-CN"/>
        </w:rPr>
        <w:t xml:space="preserve">%</w:t>
      </w:r>
      <w:r/>
    </w:p>
    <w:p>
      <w:pPr>
        <w:ind w:firstLine="3120"/>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jc w:val="cente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格式自拟</w:t>
      </w:r>
      <w:r/>
    </w:p>
    <w:p>
      <w:pPr>
        <w:spacing w:line="360" w:lineRule="auto"/>
        <w:rPr>
          <w:rFonts w:ascii="宋体" w:hAnsi="宋体" w:cs="宋体"/>
          <w:b/>
          <w:bCs/>
          <w:color w:val="auto"/>
          <w:sz w:val="28"/>
          <w:szCs w:val="28"/>
          <w:highlight w:val="none"/>
        </w:rPr>
      </w:pPr>
      <w:r>
        <w:rPr>
          <w:rFonts w:ascii="宋体" w:hAnsi="宋体" w:cs="宋体"/>
          <w:b/>
          <w:bCs/>
          <w:color w:val="auto"/>
          <w:sz w:val="28"/>
          <w:szCs w:val="28"/>
          <w:highlight w:val="none"/>
        </w:rPr>
      </w:r>
      <w:r/>
    </w:p>
    <w:p>
      <w:pPr>
        <w:spacing w:line="360" w:lineRule="auto"/>
        <w:rPr>
          <w:rFonts w:ascii="宋体" w:hAnsi="宋体" w:cs="宋体"/>
          <w:b/>
          <w:bCs/>
          <w:color w:val="auto"/>
          <w:sz w:val="28"/>
          <w:szCs w:val="28"/>
          <w:highlight w:val="none"/>
        </w:rPr>
      </w:pPr>
      <w:r>
        <w:rPr>
          <w:rFonts w:ascii="宋体" w:hAnsi="宋体" w:cs="宋体"/>
          <w:b/>
          <w:bCs/>
          <w:color w:val="auto"/>
          <w:sz w:val="28"/>
          <w:szCs w:val="28"/>
          <w:highlight w:val="none"/>
        </w:rPr>
      </w:r>
      <w:r/>
    </w:p>
    <w:p>
      <w:pPr>
        <w:spacing w:line="360" w:lineRule="auto"/>
        <w:rPr>
          <w:rFonts w:ascii="宋体" w:hAnsi="宋体" w:cs="宋体"/>
          <w:b/>
          <w:bCs/>
          <w:color w:val="auto"/>
          <w:sz w:val="28"/>
          <w:szCs w:val="28"/>
          <w:highlight w:val="none"/>
        </w:rPr>
      </w:pPr>
      <w:r>
        <w:rPr>
          <w:rFonts w:ascii="宋体" w:hAnsi="宋体" w:cs="宋体"/>
          <w:b/>
          <w:bCs/>
          <w:color w:val="auto"/>
          <w:sz w:val="28"/>
          <w:szCs w:val="28"/>
          <w:highlight w:val="none"/>
        </w:rPr>
      </w:r>
      <w:r/>
    </w:p>
    <w:p>
      <w:pPr>
        <w:spacing w:line="360" w:lineRule="auto"/>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投标人：</w:t>
      </w:r>
      <w:r>
        <w:rPr>
          <w:rFonts w:hint="eastAsia" w:ascii="宋体" w:hAnsi="宋体" w:cs="宋体"/>
          <w:b/>
          <w:bCs/>
          <w:color w:val="auto"/>
          <w:sz w:val="28"/>
          <w:szCs w:val="28"/>
          <w:highlight w:val="none"/>
          <w:u w:val="single"/>
        </w:rPr>
        <w:t xml:space="preserve">     </w:t>
      </w:r>
      <w:r>
        <w:rPr>
          <w:rFonts w:hint="eastAsia" w:ascii="宋体" w:hAnsi="宋体" w:cs="宋体"/>
          <w:b/>
          <w:bCs/>
          <w:color w:val="auto"/>
          <w:sz w:val="28"/>
          <w:szCs w:val="28"/>
          <w:highlight w:val="none"/>
        </w:rPr>
        <w:t xml:space="preserve">（电子签章）</w:t>
      </w:r>
      <w:r/>
    </w:p>
    <w:p>
      <w:pPr>
        <w:spacing w:line="360" w:lineRule="auto"/>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日期：   年  月  日</w:t>
      </w:r>
      <w:r/>
    </w:p>
    <w:p>
      <w:pPr>
        <w:jc w:val="left"/>
        <w:spacing w:line="360" w:lineRule="auto"/>
        <w:widowControl/>
        <w:rPr>
          <w:rFonts w:ascii="宋体" w:hAnsi="宋体" w:cs="宋体"/>
          <w:color w:val="auto"/>
          <w:sz w:val="28"/>
          <w:szCs w:val="28"/>
          <w:highlight w:val="none"/>
        </w:rPr>
      </w:pPr>
      <w:r>
        <w:rPr>
          <w:rFonts w:ascii="宋体" w:hAnsi="宋体" w:cs="宋体"/>
          <w:color w:val="auto"/>
          <w:sz w:val="28"/>
          <w:szCs w:val="28"/>
          <w:highlight w:val="none"/>
        </w:rPr>
      </w:r>
      <w:r/>
    </w:p>
    <w:p>
      <w:pPr>
        <w:jc w:val="left"/>
        <w:spacing w:line="360" w:lineRule="auto"/>
        <w:widowControl/>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注：</w:t>
      </w:r>
      <w:r/>
    </w:p>
    <w:p>
      <w:pPr>
        <w:numPr>
          <w:ilvl w:val="0"/>
          <w:numId w:val="2"/>
        </w:numPr>
        <w:jc w:val="left"/>
        <w:spacing w:line="360" w:lineRule="auto"/>
        <w:widowControl/>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投标人对以上数据的真实性负责。</w:t>
      </w:r>
      <w:r/>
    </w:p>
    <w:p>
      <w:pPr>
        <w:jc w:val="left"/>
        <w:spacing w:line="360" w:lineRule="auto"/>
        <w:widowControl/>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2、各</w:t>
      </w:r>
      <w:r>
        <w:rPr>
          <w:rFonts w:hint="eastAsia" w:ascii="宋体" w:hAnsi="宋体" w:cs="宋体"/>
          <w:b/>
          <w:bCs/>
          <w:color w:val="auto"/>
          <w:sz w:val="28"/>
          <w:szCs w:val="28"/>
          <w:highlight w:val="none"/>
          <w:lang w:val="en-US" w:eastAsia="zh-CN"/>
        </w:rPr>
        <w:t xml:space="preserve">采购包</w:t>
      </w:r>
      <w:r>
        <w:rPr>
          <w:rFonts w:hint="eastAsia" w:ascii="宋体" w:hAnsi="宋体" w:cs="宋体"/>
          <w:b/>
          <w:bCs/>
          <w:color w:val="auto"/>
          <w:sz w:val="28"/>
          <w:szCs w:val="28"/>
          <w:highlight w:val="none"/>
        </w:rPr>
        <w:t xml:space="preserve">分别填写。</w:t>
      </w:r>
      <w:r/>
    </w:p>
    <w:p>
      <w:pPr>
        <w:jc w:val="left"/>
        <w:spacing w:line="360" w:lineRule="auto"/>
        <w:widowControl/>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采购人或采购代理机构有权将以上内容进行公示。</w:t>
      </w:r>
      <w:r/>
    </w:p>
    <w:p>
      <w:pPr>
        <w:ind w:firstLine="560"/>
        <w:jc w:val="center"/>
        <w:spacing w:line="479" w:lineRule="atLeast"/>
        <w:rPr>
          <w:rFonts w:ascii="宋体" w:hAnsi="宋体" w:cs="宋体"/>
          <w:color w:val="auto"/>
          <w:sz w:val="1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18"/>
          <w:highlight w:val="none"/>
        </w:rPr>
        <w:br w:type="page" w:clear="all"/>
      </w:r>
      <w:r/>
    </w:p>
    <w:p>
      <w:pPr>
        <w:jc w:val="center"/>
        <w:spacing w:line="360" w:lineRule="auto"/>
        <w:rPr>
          <w:rFonts w:hint="eastAsia" w:ascii="宋体" w:hAnsi="宋体" w:cs="宋体"/>
          <w:b/>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highlight w:val="none"/>
        </w:rPr>
        <w:t xml:space="preserve">四、偏离表格式</w:t>
      </w:r>
      <w:r/>
    </w:p>
    <w:p>
      <w:pPr>
        <w:ind w:firstLine="600"/>
        <w:spacing w:line="479" w:lineRule="atLeast"/>
        <w:rPr>
          <w:rFonts w:ascii="宋体" w:hAnsi="宋体" w:cs="宋体"/>
          <w:color w:val="auto"/>
          <w:sz w:val="24"/>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32"/>
          <w:highlight w:val="none"/>
        </w:rPr>
        <w:t xml:space="preserve"> </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项目编号：</w:t>
      </w:r>
      <w:r/>
    </w:p>
    <w:p>
      <w:pPr>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项目名称：</w:t>
      </w:r>
      <w:r/>
    </w:p>
    <w:tbl>
      <w:tblPr>
        <w:tblStyle w:val="906"/>
        <w:tblW w:w="8699" w:type="dxa"/>
        <w:tblInd w:w="-29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3"/>
        <w:gridCol w:w="1434"/>
        <w:gridCol w:w="1515"/>
        <w:gridCol w:w="1830"/>
        <w:gridCol w:w="1380"/>
        <w:gridCol w:w="1597"/>
      </w:tblGrid>
      <w:tr>
        <w:trPr>
          <w:trHeight w:val="794"/>
        </w:trPr>
        <w:tc>
          <w:tcPr>
            <w:tcMar>
              <w:left w:w="108" w:type="dxa"/>
              <w:top w:w="0" w:type="dxa"/>
              <w:right w:w="108" w:type="dxa"/>
              <w:bottom w:w="0" w:type="dxa"/>
            </w:tcMar>
            <w:tcW w:w="943" w:type="dxa"/>
            <w:vAlign w:val="center"/>
            <w:textDirection w:val="lrTb"/>
            <w:noWrap w:val="false"/>
          </w:tcPr>
          <w:p>
            <w:pPr>
              <w:jc w:val="center"/>
              <w:spacing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序号</w:t>
            </w:r>
            <w:r/>
          </w:p>
        </w:tc>
        <w:tc>
          <w:tcPr>
            <w:tcMar>
              <w:left w:w="108" w:type="dxa"/>
              <w:top w:w="0" w:type="dxa"/>
              <w:right w:w="108" w:type="dxa"/>
              <w:bottom w:w="0" w:type="dxa"/>
            </w:tcMar>
            <w:tcW w:w="1434" w:type="dxa"/>
            <w:vAlign w:val="center"/>
            <w:textDirection w:val="lrTb"/>
            <w:noWrap w:val="false"/>
          </w:tcPr>
          <w:p>
            <w:pPr>
              <w:jc w:val="center"/>
              <w:spacing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偏离内容</w:t>
            </w:r>
            <w:r/>
          </w:p>
        </w:tc>
        <w:tc>
          <w:tcPr>
            <w:tcMar>
              <w:left w:w="108" w:type="dxa"/>
              <w:top w:w="0" w:type="dxa"/>
              <w:right w:w="108" w:type="dxa"/>
              <w:bottom w:w="0" w:type="dxa"/>
            </w:tcMar>
            <w:tcW w:w="1515" w:type="dxa"/>
            <w:vAlign w:val="center"/>
            <w:textDirection w:val="lrTb"/>
            <w:noWrap w:val="false"/>
          </w:tcPr>
          <w:p>
            <w:pPr>
              <w:jc w:val="center"/>
              <w:spacing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招标文件的要求</w:t>
            </w:r>
            <w:r/>
          </w:p>
        </w:tc>
        <w:tc>
          <w:tcPr>
            <w:tcMar>
              <w:left w:w="108" w:type="dxa"/>
              <w:top w:w="0" w:type="dxa"/>
              <w:right w:w="108" w:type="dxa"/>
              <w:bottom w:w="0" w:type="dxa"/>
            </w:tcMar>
            <w:tcW w:w="1830" w:type="dxa"/>
            <w:vAlign w:val="center"/>
            <w:textDirection w:val="lrTb"/>
            <w:noWrap w:val="false"/>
          </w:tcPr>
          <w:p>
            <w:pPr>
              <w:jc w:val="center"/>
              <w:spacing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spacing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（正/负/无）偏离</w:t>
            </w:r>
            <w:r/>
          </w:p>
        </w:tc>
        <w:tc>
          <w:tcPr>
            <w:tcMar>
              <w:left w:w="108" w:type="dxa"/>
              <w:top w:w="0" w:type="dxa"/>
              <w:right w:w="108" w:type="dxa"/>
              <w:bottom w:w="0" w:type="dxa"/>
            </w:tcMar>
            <w:tcW w:w="1597" w:type="dxa"/>
            <w:vAlign w:val="center"/>
            <w:textDirection w:val="lrTb"/>
            <w:noWrap w:val="false"/>
          </w:tcPr>
          <w:p>
            <w:pPr>
              <w:jc w:val="center"/>
              <w:spacing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说明</w:t>
            </w:r>
            <w:r/>
          </w:p>
        </w:tc>
      </w:tr>
      <w:tr>
        <w:trPr>
          <w:trHeight w:val="794"/>
        </w:trPr>
        <w:tc>
          <w:tcPr>
            <w:tcMar>
              <w:left w:w="108" w:type="dxa"/>
              <w:top w:w="0" w:type="dxa"/>
              <w:right w:w="108" w:type="dxa"/>
              <w:bottom w:w="0" w:type="dxa"/>
            </w:tcMar>
            <w:tcW w:w="943" w:type="dxa"/>
            <w:textDirection w:val="lrTb"/>
            <w:noWrap w:val="false"/>
          </w:tcPr>
          <w:p>
            <w:pPr>
              <w:spacing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Mar>
              <w:left w:w="108" w:type="dxa"/>
              <w:top w:w="0" w:type="dxa"/>
              <w:right w:w="108" w:type="dxa"/>
              <w:bottom w:w="0" w:type="dxa"/>
            </w:tcMar>
            <w:tcW w:w="1434" w:type="dxa"/>
            <w:textDirection w:val="lrTb"/>
            <w:noWrap w:val="false"/>
          </w:tcPr>
          <w:p>
            <w:pPr>
              <w:spacing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Mar>
              <w:left w:w="108" w:type="dxa"/>
              <w:top w:w="0" w:type="dxa"/>
              <w:right w:w="108" w:type="dxa"/>
              <w:bottom w:w="0" w:type="dxa"/>
            </w:tcMar>
            <w:tcW w:w="1515" w:type="dxa"/>
            <w:textDirection w:val="lrTb"/>
            <w:noWrap w:val="false"/>
          </w:tcPr>
          <w:p>
            <w:pPr>
              <w:spacing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Mar>
              <w:left w:w="108" w:type="dxa"/>
              <w:top w:w="0" w:type="dxa"/>
              <w:right w:w="108" w:type="dxa"/>
              <w:bottom w:w="0" w:type="dxa"/>
            </w:tcMar>
            <w:tcW w:w="1830" w:type="dxa"/>
            <w:textDirection w:val="lrTb"/>
            <w:noWrap w:val="false"/>
          </w:tcPr>
          <w:p>
            <w:pPr>
              <w:spacing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Mar>
              <w:left w:w="108" w:type="dxa"/>
              <w:top w:w="0" w:type="dxa"/>
              <w:right w:w="108" w:type="dxa"/>
              <w:bottom w:w="0" w:type="dxa"/>
            </w:tcMar>
            <w:tcW w:w="1380" w:type="dxa"/>
            <w:textDirection w:val="lrTb"/>
            <w:noWrap w:val="false"/>
          </w:tcPr>
          <w:p>
            <w:pPr>
              <w:spacing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Mar>
              <w:left w:w="108" w:type="dxa"/>
              <w:top w:w="0" w:type="dxa"/>
              <w:right w:w="108" w:type="dxa"/>
              <w:bottom w:w="0" w:type="dxa"/>
            </w:tcMar>
            <w:tcW w:w="1597" w:type="dxa"/>
            <w:textDirection w:val="lrTb"/>
            <w:noWrap w:val="false"/>
          </w:tcPr>
          <w:p>
            <w:pPr>
              <w:spacing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r>
      <w:tr>
        <w:trPr>
          <w:trHeight w:val="794"/>
        </w:trPr>
        <w:tc>
          <w:tcPr>
            <w:tcMar>
              <w:left w:w="108" w:type="dxa"/>
              <w:top w:w="0" w:type="dxa"/>
              <w:right w:w="108" w:type="dxa"/>
              <w:bottom w:w="0" w:type="dxa"/>
            </w:tcMar>
            <w:tcW w:w="943" w:type="dxa"/>
            <w:textDirection w:val="lrTb"/>
            <w:noWrap w:val="false"/>
          </w:tcPr>
          <w:p>
            <w:pPr>
              <w:spacing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Mar>
              <w:left w:w="108" w:type="dxa"/>
              <w:top w:w="0" w:type="dxa"/>
              <w:right w:w="108" w:type="dxa"/>
              <w:bottom w:w="0" w:type="dxa"/>
            </w:tcMar>
            <w:tcW w:w="1434" w:type="dxa"/>
            <w:textDirection w:val="lrTb"/>
            <w:noWrap w:val="false"/>
          </w:tcPr>
          <w:p>
            <w:pPr>
              <w:spacing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Mar>
              <w:left w:w="108" w:type="dxa"/>
              <w:top w:w="0" w:type="dxa"/>
              <w:right w:w="108" w:type="dxa"/>
              <w:bottom w:w="0" w:type="dxa"/>
            </w:tcMar>
            <w:tcW w:w="1515" w:type="dxa"/>
            <w:textDirection w:val="lrTb"/>
            <w:noWrap w:val="false"/>
          </w:tcPr>
          <w:p>
            <w:pPr>
              <w:spacing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Mar>
              <w:left w:w="108" w:type="dxa"/>
              <w:top w:w="0" w:type="dxa"/>
              <w:right w:w="108" w:type="dxa"/>
              <w:bottom w:w="0" w:type="dxa"/>
            </w:tcMar>
            <w:tcW w:w="1830" w:type="dxa"/>
            <w:textDirection w:val="lrTb"/>
            <w:noWrap w:val="false"/>
          </w:tcPr>
          <w:p>
            <w:pPr>
              <w:spacing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Mar>
              <w:left w:w="108" w:type="dxa"/>
              <w:top w:w="0" w:type="dxa"/>
              <w:right w:w="108" w:type="dxa"/>
              <w:bottom w:w="0" w:type="dxa"/>
            </w:tcMar>
            <w:tcW w:w="1380" w:type="dxa"/>
            <w:textDirection w:val="lrTb"/>
            <w:noWrap w:val="false"/>
          </w:tcPr>
          <w:p>
            <w:pPr>
              <w:spacing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Mar>
              <w:left w:w="108" w:type="dxa"/>
              <w:top w:w="0" w:type="dxa"/>
              <w:right w:w="108" w:type="dxa"/>
              <w:bottom w:w="0" w:type="dxa"/>
            </w:tcMar>
            <w:tcW w:w="1597" w:type="dxa"/>
            <w:textDirection w:val="lrTb"/>
            <w:noWrap w:val="false"/>
          </w:tcPr>
          <w:p>
            <w:pPr>
              <w:spacing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r>
      <w:tr>
        <w:trPr>
          <w:trHeight w:val="794"/>
        </w:trPr>
        <w:tc>
          <w:tcPr>
            <w:tcMar>
              <w:left w:w="108" w:type="dxa"/>
              <w:top w:w="0" w:type="dxa"/>
              <w:right w:w="108" w:type="dxa"/>
              <w:bottom w:w="0" w:type="dxa"/>
            </w:tcMar>
            <w:tcW w:w="943" w:type="dxa"/>
            <w:textDirection w:val="lrTb"/>
            <w:noWrap w:val="false"/>
          </w:tcPr>
          <w:p>
            <w:pPr>
              <w:spacing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Mar>
              <w:left w:w="108" w:type="dxa"/>
              <w:top w:w="0" w:type="dxa"/>
              <w:right w:w="108" w:type="dxa"/>
              <w:bottom w:w="0" w:type="dxa"/>
            </w:tcMar>
            <w:tcW w:w="1434" w:type="dxa"/>
            <w:textDirection w:val="lrTb"/>
            <w:noWrap w:val="false"/>
          </w:tcPr>
          <w:p>
            <w:pPr>
              <w:spacing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Mar>
              <w:left w:w="108" w:type="dxa"/>
              <w:top w:w="0" w:type="dxa"/>
              <w:right w:w="108" w:type="dxa"/>
              <w:bottom w:w="0" w:type="dxa"/>
            </w:tcMar>
            <w:tcW w:w="1515" w:type="dxa"/>
            <w:textDirection w:val="lrTb"/>
            <w:noWrap w:val="false"/>
          </w:tcPr>
          <w:p>
            <w:pPr>
              <w:spacing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Mar>
              <w:left w:w="108" w:type="dxa"/>
              <w:top w:w="0" w:type="dxa"/>
              <w:right w:w="108" w:type="dxa"/>
              <w:bottom w:w="0" w:type="dxa"/>
            </w:tcMar>
            <w:tcW w:w="1830" w:type="dxa"/>
            <w:textDirection w:val="lrTb"/>
            <w:noWrap w:val="false"/>
          </w:tcPr>
          <w:p>
            <w:pPr>
              <w:spacing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Mar>
              <w:left w:w="108" w:type="dxa"/>
              <w:top w:w="0" w:type="dxa"/>
              <w:right w:w="108" w:type="dxa"/>
              <w:bottom w:w="0" w:type="dxa"/>
            </w:tcMar>
            <w:tcW w:w="1380" w:type="dxa"/>
            <w:textDirection w:val="lrTb"/>
            <w:noWrap w:val="false"/>
          </w:tcPr>
          <w:p>
            <w:pPr>
              <w:spacing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Mar>
              <w:left w:w="108" w:type="dxa"/>
              <w:top w:w="0" w:type="dxa"/>
              <w:right w:w="108" w:type="dxa"/>
              <w:bottom w:w="0" w:type="dxa"/>
            </w:tcMar>
            <w:tcW w:w="1597" w:type="dxa"/>
            <w:textDirection w:val="lrTb"/>
            <w:noWrap w:val="false"/>
          </w:tcPr>
          <w:p>
            <w:pPr>
              <w:spacing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r>
      <w:tr>
        <w:trPr>
          <w:trHeight w:val="794"/>
        </w:trPr>
        <w:tc>
          <w:tcPr>
            <w:tcMar>
              <w:left w:w="108" w:type="dxa"/>
              <w:top w:w="0" w:type="dxa"/>
              <w:right w:w="108" w:type="dxa"/>
              <w:bottom w:w="0" w:type="dxa"/>
            </w:tcMar>
            <w:tcW w:w="943" w:type="dxa"/>
            <w:textDirection w:val="lrTb"/>
            <w:noWrap w:val="false"/>
          </w:tcPr>
          <w:p>
            <w:pPr>
              <w:spacing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Mar>
              <w:left w:w="108" w:type="dxa"/>
              <w:top w:w="0" w:type="dxa"/>
              <w:right w:w="108" w:type="dxa"/>
              <w:bottom w:w="0" w:type="dxa"/>
            </w:tcMar>
            <w:tcW w:w="1434" w:type="dxa"/>
            <w:textDirection w:val="lrTb"/>
            <w:noWrap w:val="false"/>
          </w:tcPr>
          <w:p>
            <w:pPr>
              <w:spacing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Mar>
              <w:left w:w="108" w:type="dxa"/>
              <w:top w:w="0" w:type="dxa"/>
              <w:right w:w="108" w:type="dxa"/>
              <w:bottom w:w="0" w:type="dxa"/>
            </w:tcMar>
            <w:tcW w:w="1515" w:type="dxa"/>
            <w:textDirection w:val="lrTb"/>
            <w:noWrap w:val="false"/>
          </w:tcPr>
          <w:p>
            <w:pPr>
              <w:spacing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Mar>
              <w:left w:w="108" w:type="dxa"/>
              <w:top w:w="0" w:type="dxa"/>
              <w:right w:w="108" w:type="dxa"/>
              <w:bottom w:w="0" w:type="dxa"/>
            </w:tcMar>
            <w:tcW w:w="1830" w:type="dxa"/>
            <w:textDirection w:val="lrTb"/>
            <w:noWrap w:val="false"/>
          </w:tcPr>
          <w:p>
            <w:pPr>
              <w:spacing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Mar>
              <w:left w:w="108" w:type="dxa"/>
              <w:top w:w="0" w:type="dxa"/>
              <w:right w:w="108" w:type="dxa"/>
              <w:bottom w:w="0" w:type="dxa"/>
            </w:tcMar>
            <w:tcW w:w="1380" w:type="dxa"/>
            <w:textDirection w:val="lrTb"/>
            <w:noWrap w:val="false"/>
          </w:tcPr>
          <w:p>
            <w:pPr>
              <w:spacing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Mar>
              <w:left w:w="108" w:type="dxa"/>
              <w:top w:w="0" w:type="dxa"/>
              <w:right w:w="108" w:type="dxa"/>
              <w:bottom w:w="0" w:type="dxa"/>
            </w:tcMar>
            <w:tcW w:w="1597" w:type="dxa"/>
            <w:textDirection w:val="lrTb"/>
            <w:noWrap w:val="false"/>
          </w:tcPr>
          <w:p>
            <w:pPr>
              <w:spacing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r>
      <w:tr>
        <w:trPr>
          <w:trHeight w:val="794"/>
        </w:trPr>
        <w:tc>
          <w:tcPr>
            <w:tcMar>
              <w:left w:w="108" w:type="dxa"/>
              <w:top w:w="0" w:type="dxa"/>
              <w:right w:w="108" w:type="dxa"/>
              <w:bottom w:w="0" w:type="dxa"/>
            </w:tcMar>
            <w:tcW w:w="943" w:type="dxa"/>
            <w:textDirection w:val="lrTb"/>
            <w:noWrap w:val="false"/>
          </w:tcPr>
          <w:p>
            <w:pPr>
              <w:spacing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Mar>
              <w:left w:w="108" w:type="dxa"/>
              <w:top w:w="0" w:type="dxa"/>
              <w:right w:w="108" w:type="dxa"/>
              <w:bottom w:w="0" w:type="dxa"/>
            </w:tcMar>
            <w:tcW w:w="1434" w:type="dxa"/>
            <w:textDirection w:val="lrTb"/>
            <w:noWrap w:val="false"/>
          </w:tcPr>
          <w:p>
            <w:pPr>
              <w:spacing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Mar>
              <w:left w:w="108" w:type="dxa"/>
              <w:top w:w="0" w:type="dxa"/>
              <w:right w:w="108" w:type="dxa"/>
              <w:bottom w:w="0" w:type="dxa"/>
            </w:tcMar>
            <w:tcW w:w="1515" w:type="dxa"/>
            <w:textDirection w:val="lrTb"/>
            <w:noWrap w:val="false"/>
          </w:tcPr>
          <w:p>
            <w:pPr>
              <w:spacing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Mar>
              <w:left w:w="108" w:type="dxa"/>
              <w:top w:w="0" w:type="dxa"/>
              <w:right w:w="108" w:type="dxa"/>
              <w:bottom w:w="0" w:type="dxa"/>
            </w:tcMar>
            <w:tcW w:w="1830" w:type="dxa"/>
            <w:textDirection w:val="lrTb"/>
            <w:noWrap w:val="false"/>
          </w:tcPr>
          <w:p>
            <w:pPr>
              <w:spacing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Mar>
              <w:left w:w="108" w:type="dxa"/>
              <w:top w:w="0" w:type="dxa"/>
              <w:right w:w="108" w:type="dxa"/>
              <w:bottom w:w="0" w:type="dxa"/>
            </w:tcMar>
            <w:tcW w:w="1380" w:type="dxa"/>
            <w:textDirection w:val="lrTb"/>
            <w:noWrap w:val="false"/>
          </w:tcPr>
          <w:p>
            <w:pPr>
              <w:spacing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Mar>
              <w:left w:w="108" w:type="dxa"/>
              <w:top w:w="0" w:type="dxa"/>
              <w:right w:w="108" w:type="dxa"/>
              <w:bottom w:w="0" w:type="dxa"/>
            </w:tcMar>
            <w:tcW w:w="1597" w:type="dxa"/>
            <w:textDirection w:val="lrTb"/>
            <w:noWrap w:val="false"/>
          </w:tcPr>
          <w:p>
            <w:pPr>
              <w:spacing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r>
      <w:tr>
        <w:trPr>
          <w:trHeight w:val="794"/>
        </w:trPr>
        <w:tc>
          <w:tcPr>
            <w:tcMar>
              <w:left w:w="108" w:type="dxa"/>
              <w:top w:w="0" w:type="dxa"/>
              <w:right w:w="108" w:type="dxa"/>
              <w:bottom w:w="0" w:type="dxa"/>
            </w:tcMar>
            <w:tcW w:w="943" w:type="dxa"/>
            <w:textDirection w:val="lrTb"/>
            <w:noWrap w:val="false"/>
          </w:tcPr>
          <w:p>
            <w:pPr>
              <w:spacing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Mar>
              <w:left w:w="108" w:type="dxa"/>
              <w:top w:w="0" w:type="dxa"/>
              <w:right w:w="108" w:type="dxa"/>
              <w:bottom w:w="0" w:type="dxa"/>
            </w:tcMar>
            <w:tcW w:w="1434" w:type="dxa"/>
            <w:textDirection w:val="lrTb"/>
            <w:noWrap w:val="false"/>
          </w:tcPr>
          <w:p>
            <w:pPr>
              <w:spacing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Mar>
              <w:left w:w="108" w:type="dxa"/>
              <w:top w:w="0" w:type="dxa"/>
              <w:right w:w="108" w:type="dxa"/>
              <w:bottom w:w="0" w:type="dxa"/>
            </w:tcMar>
            <w:tcW w:w="1515" w:type="dxa"/>
            <w:textDirection w:val="lrTb"/>
            <w:noWrap w:val="false"/>
          </w:tcPr>
          <w:p>
            <w:pPr>
              <w:spacing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Mar>
              <w:left w:w="108" w:type="dxa"/>
              <w:top w:w="0" w:type="dxa"/>
              <w:right w:w="108" w:type="dxa"/>
              <w:bottom w:w="0" w:type="dxa"/>
            </w:tcMar>
            <w:tcW w:w="1830" w:type="dxa"/>
            <w:textDirection w:val="lrTb"/>
            <w:noWrap w:val="false"/>
          </w:tcPr>
          <w:p>
            <w:pPr>
              <w:spacing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Mar>
              <w:left w:w="108" w:type="dxa"/>
              <w:top w:w="0" w:type="dxa"/>
              <w:right w:w="108" w:type="dxa"/>
              <w:bottom w:w="0" w:type="dxa"/>
            </w:tcMar>
            <w:tcW w:w="1380" w:type="dxa"/>
            <w:textDirection w:val="lrTb"/>
            <w:noWrap w:val="false"/>
          </w:tcPr>
          <w:p>
            <w:pPr>
              <w:spacing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c>
          <w:tcPr>
            <w:tcMar>
              <w:left w:w="108" w:type="dxa"/>
              <w:top w:w="0" w:type="dxa"/>
              <w:right w:w="108" w:type="dxa"/>
              <w:bottom w:w="0" w:type="dxa"/>
            </w:tcMar>
            <w:tcW w:w="1597" w:type="dxa"/>
            <w:textDirection w:val="lrTb"/>
            <w:noWrap w:val="false"/>
          </w:tcPr>
          <w:p>
            <w:pPr>
              <w:spacing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tc>
      </w:tr>
      <w:tr>
        <w:trPr>
          <w:trHeight w:val="794"/>
        </w:trPr>
        <w:tc>
          <w:tcPr>
            <w:tcMar>
              <w:left w:w="108" w:type="dxa"/>
              <w:top w:w="0" w:type="dxa"/>
              <w:right w:w="108" w:type="dxa"/>
              <w:bottom w:w="0" w:type="dxa"/>
            </w:tcMar>
            <w:tcW w:w="943" w:type="dxa"/>
            <w:textDirection w:val="lrTb"/>
            <w:noWrap w:val="false"/>
          </w:tcPr>
          <w:p>
            <w:pPr>
              <w:spacing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tc>
        <w:tc>
          <w:tcPr>
            <w:tcMar>
              <w:left w:w="108" w:type="dxa"/>
              <w:top w:w="0" w:type="dxa"/>
              <w:right w:w="108" w:type="dxa"/>
              <w:bottom w:w="0" w:type="dxa"/>
            </w:tcMar>
            <w:tcW w:w="1434" w:type="dxa"/>
            <w:textDirection w:val="lrTb"/>
            <w:noWrap w:val="false"/>
          </w:tcPr>
          <w:p>
            <w:pPr>
              <w:spacing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tc>
        <w:tc>
          <w:tcPr>
            <w:tcMar>
              <w:left w:w="108" w:type="dxa"/>
              <w:top w:w="0" w:type="dxa"/>
              <w:right w:w="108" w:type="dxa"/>
              <w:bottom w:w="0" w:type="dxa"/>
            </w:tcMar>
            <w:tcW w:w="1515" w:type="dxa"/>
            <w:textDirection w:val="lrTb"/>
            <w:noWrap w:val="false"/>
          </w:tcPr>
          <w:p>
            <w:pPr>
              <w:spacing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tc>
        <w:tc>
          <w:tcPr>
            <w:tcMar>
              <w:left w:w="108" w:type="dxa"/>
              <w:top w:w="0" w:type="dxa"/>
              <w:right w:w="108" w:type="dxa"/>
              <w:bottom w:w="0" w:type="dxa"/>
            </w:tcMar>
            <w:tcW w:w="1830" w:type="dxa"/>
            <w:textDirection w:val="lrTb"/>
            <w:noWrap w:val="false"/>
          </w:tcPr>
          <w:p>
            <w:pPr>
              <w:spacing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tc>
        <w:tc>
          <w:tcPr>
            <w:tcMar>
              <w:left w:w="108" w:type="dxa"/>
              <w:top w:w="0" w:type="dxa"/>
              <w:right w:w="108" w:type="dxa"/>
              <w:bottom w:w="0" w:type="dxa"/>
            </w:tcMar>
            <w:tcW w:w="1380" w:type="dxa"/>
            <w:textDirection w:val="lrTb"/>
            <w:noWrap w:val="false"/>
          </w:tcPr>
          <w:p>
            <w:pPr>
              <w:spacing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tc>
        <w:tc>
          <w:tcPr>
            <w:tcMar>
              <w:left w:w="108" w:type="dxa"/>
              <w:top w:w="0" w:type="dxa"/>
              <w:right w:w="108" w:type="dxa"/>
              <w:bottom w:w="0" w:type="dxa"/>
            </w:tcMar>
            <w:tcW w:w="1597" w:type="dxa"/>
            <w:textDirection w:val="lrTb"/>
            <w:noWrap w:val="false"/>
          </w:tcPr>
          <w:p>
            <w:pPr>
              <w:spacing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tc>
      </w:tr>
      <w:tr>
        <w:trPr>
          <w:trHeight w:val="794"/>
        </w:trPr>
        <w:tc>
          <w:tcPr>
            <w:tcMar>
              <w:left w:w="108" w:type="dxa"/>
              <w:top w:w="0" w:type="dxa"/>
              <w:right w:w="108" w:type="dxa"/>
              <w:bottom w:w="0" w:type="dxa"/>
            </w:tcMar>
            <w:tcW w:w="943" w:type="dxa"/>
            <w:textDirection w:val="lrTb"/>
            <w:noWrap w:val="false"/>
          </w:tcPr>
          <w:p>
            <w:pPr>
              <w:spacing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tc>
        <w:tc>
          <w:tcPr>
            <w:tcMar>
              <w:left w:w="108" w:type="dxa"/>
              <w:top w:w="0" w:type="dxa"/>
              <w:right w:w="108" w:type="dxa"/>
              <w:bottom w:w="0" w:type="dxa"/>
            </w:tcMar>
            <w:tcW w:w="1434" w:type="dxa"/>
            <w:textDirection w:val="lrTb"/>
            <w:noWrap w:val="false"/>
          </w:tcPr>
          <w:p>
            <w:pPr>
              <w:spacing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tc>
        <w:tc>
          <w:tcPr>
            <w:tcMar>
              <w:left w:w="108" w:type="dxa"/>
              <w:top w:w="0" w:type="dxa"/>
              <w:right w:w="108" w:type="dxa"/>
              <w:bottom w:w="0" w:type="dxa"/>
            </w:tcMar>
            <w:tcW w:w="1515" w:type="dxa"/>
            <w:textDirection w:val="lrTb"/>
            <w:noWrap w:val="false"/>
          </w:tcPr>
          <w:p>
            <w:pPr>
              <w:spacing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tc>
        <w:tc>
          <w:tcPr>
            <w:tcMar>
              <w:left w:w="108" w:type="dxa"/>
              <w:top w:w="0" w:type="dxa"/>
              <w:right w:w="108" w:type="dxa"/>
              <w:bottom w:w="0" w:type="dxa"/>
            </w:tcMar>
            <w:tcW w:w="1830" w:type="dxa"/>
            <w:textDirection w:val="lrTb"/>
            <w:noWrap w:val="false"/>
          </w:tcPr>
          <w:p>
            <w:pPr>
              <w:spacing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tc>
        <w:tc>
          <w:tcPr>
            <w:tcMar>
              <w:left w:w="108" w:type="dxa"/>
              <w:top w:w="0" w:type="dxa"/>
              <w:right w:w="108" w:type="dxa"/>
              <w:bottom w:w="0" w:type="dxa"/>
            </w:tcMar>
            <w:tcW w:w="1380" w:type="dxa"/>
            <w:textDirection w:val="lrTb"/>
            <w:noWrap w:val="false"/>
          </w:tcPr>
          <w:p>
            <w:pPr>
              <w:spacing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tc>
        <w:tc>
          <w:tcPr>
            <w:tcMar>
              <w:left w:w="108" w:type="dxa"/>
              <w:top w:w="0" w:type="dxa"/>
              <w:right w:w="108" w:type="dxa"/>
              <w:bottom w:w="0" w:type="dxa"/>
            </w:tcMar>
            <w:tcW w:w="1597" w:type="dxa"/>
            <w:textDirection w:val="lrTb"/>
            <w:noWrap w:val="false"/>
          </w:tcPr>
          <w:p>
            <w:pPr>
              <w:spacing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tc>
      </w:tr>
      <w:tr>
        <w:trPr>
          <w:trHeight w:val="794"/>
        </w:trPr>
        <w:tc>
          <w:tcPr>
            <w:tcMar>
              <w:left w:w="108" w:type="dxa"/>
              <w:top w:w="0" w:type="dxa"/>
              <w:right w:w="108" w:type="dxa"/>
              <w:bottom w:w="0" w:type="dxa"/>
            </w:tcMar>
            <w:tcW w:w="943" w:type="dxa"/>
            <w:textDirection w:val="lrTb"/>
            <w:noWrap w:val="false"/>
          </w:tcPr>
          <w:p>
            <w:pPr>
              <w:spacing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tc>
        <w:tc>
          <w:tcPr>
            <w:tcMar>
              <w:left w:w="108" w:type="dxa"/>
              <w:top w:w="0" w:type="dxa"/>
              <w:right w:w="108" w:type="dxa"/>
              <w:bottom w:w="0" w:type="dxa"/>
            </w:tcMar>
            <w:tcW w:w="1434" w:type="dxa"/>
            <w:textDirection w:val="lrTb"/>
            <w:noWrap w:val="false"/>
          </w:tcPr>
          <w:p>
            <w:pPr>
              <w:spacing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tc>
        <w:tc>
          <w:tcPr>
            <w:tcMar>
              <w:left w:w="108" w:type="dxa"/>
              <w:top w:w="0" w:type="dxa"/>
              <w:right w:w="108" w:type="dxa"/>
              <w:bottom w:w="0" w:type="dxa"/>
            </w:tcMar>
            <w:tcW w:w="1515" w:type="dxa"/>
            <w:textDirection w:val="lrTb"/>
            <w:noWrap w:val="false"/>
          </w:tcPr>
          <w:p>
            <w:pPr>
              <w:spacing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tc>
        <w:tc>
          <w:tcPr>
            <w:tcMar>
              <w:left w:w="108" w:type="dxa"/>
              <w:top w:w="0" w:type="dxa"/>
              <w:right w:w="108" w:type="dxa"/>
              <w:bottom w:w="0" w:type="dxa"/>
            </w:tcMar>
            <w:tcW w:w="1830" w:type="dxa"/>
            <w:textDirection w:val="lrTb"/>
            <w:noWrap w:val="false"/>
          </w:tcPr>
          <w:p>
            <w:pPr>
              <w:spacing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tc>
        <w:tc>
          <w:tcPr>
            <w:tcMar>
              <w:left w:w="108" w:type="dxa"/>
              <w:top w:w="0" w:type="dxa"/>
              <w:right w:w="108" w:type="dxa"/>
              <w:bottom w:w="0" w:type="dxa"/>
            </w:tcMar>
            <w:tcW w:w="1380" w:type="dxa"/>
            <w:textDirection w:val="lrTb"/>
            <w:noWrap w:val="false"/>
          </w:tcPr>
          <w:p>
            <w:pPr>
              <w:spacing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tc>
        <w:tc>
          <w:tcPr>
            <w:tcMar>
              <w:left w:w="108" w:type="dxa"/>
              <w:top w:w="0" w:type="dxa"/>
              <w:right w:w="108" w:type="dxa"/>
              <w:bottom w:w="0" w:type="dxa"/>
            </w:tcMar>
            <w:tcW w:w="1597" w:type="dxa"/>
            <w:textDirection w:val="lrTb"/>
            <w:noWrap w:val="false"/>
          </w:tcPr>
          <w:p>
            <w:pPr>
              <w:spacing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tc>
      </w:tr>
    </w:tbl>
    <w:p>
      <w:pPr>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注：</w:t>
      </w:r>
      <w:r>
        <w:rPr>
          <w:rFonts w:hint="eastAsia" w:ascii="宋体" w:hAnsi="宋体" w:eastAsia="宋体" w:cs="宋体"/>
          <w:color w:val="auto"/>
          <w:sz w:val="28"/>
          <w:szCs w:val="28"/>
          <w:highlight w:val="none"/>
        </w:rPr>
        <w:t xml:space="preserve">投标人的投标文件中的内容与招标文件（含招标文件的澄清或者修改的内容）的要求不同时，逐条列在偏离表中，否则将认为投标人接受招标文件的要求。</w:t>
      </w:r>
      <w:r/>
    </w:p>
    <w:p>
      <w:pPr>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p>
      <w:pPr>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投标人：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（电子签章） </w:t>
      </w:r>
      <w:r/>
    </w:p>
    <w:p>
      <w:pPr>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日期：</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年</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月</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日</w:t>
      </w:r>
      <w:r/>
    </w:p>
    <w:p>
      <w:pPr>
        <w:rPr>
          <w:rFonts w:ascii="宋体" w:hAnsi="宋体" w:cs="宋体"/>
          <w:b/>
          <w:bCs/>
          <w:color w:val="auto"/>
          <w:sz w:val="24"/>
          <w:szCs w:val="32"/>
          <w:highlight w:val="none"/>
        </w:rPr>
      </w:pPr>
      <w:r>
        <w:rPr>
          <w:rFonts w:hint="eastAsia" w:ascii="宋体" w:hAnsi="宋体" w:cs="宋体"/>
          <w:b/>
          <w:bCs/>
          <w:color w:val="auto"/>
          <w:sz w:val="24"/>
          <w:szCs w:val="32"/>
          <w:highlight w:val="none"/>
        </w:rPr>
        <w:br w:type="page" w:clear="all"/>
      </w:r>
      <w:r/>
    </w:p>
    <w:p>
      <w:pPr>
        <w:jc w:val="center"/>
        <w:spacing w:line="479" w:lineRule="atLeast"/>
        <w:rPr>
          <w:rFonts w:ascii="宋体" w:hAnsi="宋体" w:cs="宋体"/>
          <w:b/>
          <w:bCs/>
          <w:color w:val="auto"/>
          <w:sz w:val="24"/>
          <w:szCs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ascii="宋体" w:hAnsi="宋体" w:cs="宋体"/>
          <w:b/>
          <w:bCs/>
          <w:color w:val="auto"/>
          <w:sz w:val="24"/>
          <w:szCs w:val="32"/>
          <w:highlight w:val="none"/>
        </w:rPr>
      </w:r>
      <w:r/>
    </w:p>
    <w:p>
      <w:pPr>
        <w:jc w:val="center"/>
        <w:spacing w:line="360" w:lineRule="auto"/>
        <w:rPr>
          <w:rFonts w:hint="eastAsia" w:ascii="宋体" w:hAnsi="宋体" w:cs="宋体"/>
          <w:b/>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highlight w:val="none"/>
        </w:rPr>
        <w:t xml:space="preserve">五、授权委托书格式</w:t>
      </w:r>
      <w:r/>
    </w:p>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委托人：</w:t>
      </w:r>
      <w:r/>
    </w:p>
    <w:p>
      <w:pPr>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地址：</w:t>
      </w:r>
      <w:r/>
    </w:p>
    <w:p>
      <w:pPr>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法定代表人</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负责人</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   职务：</w:t>
      </w:r>
      <w:r/>
    </w:p>
    <w:p>
      <w:pPr>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统一社会信用代码：</w:t>
      </w:r>
      <w:r/>
    </w:p>
    <w:p>
      <w:pPr>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受托人：                   性别：男（女）</w:t>
      </w:r>
      <w:r/>
    </w:p>
    <w:p>
      <w:pPr>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年龄：  岁                 民族：  族</w:t>
      </w:r>
      <w:r/>
    </w:p>
    <w:p>
      <w:pPr>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职务：</w:t>
      </w:r>
      <w:r/>
    </w:p>
    <w:p>
      <w:pPr>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身份证号：</w:t>
      </w:r>
      <w:r/>
    </w:p>
    <w:p>
      <w:pPr>
        <w:ind w:firstLine="600"/>
        <w:spacing w:line="360" w:lineRule="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r>
      <w:r/>
    </w:p>
    <w:p>
      <w:pPr>
        <w:ind w:firstLine="600"/>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兹委托（</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）全权代表我企业（公司）参与（</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）项目（项目编号：</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）的招、投标活动及签订合同。（</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）以我企业（公司）名义所为的法律行为及签署的文件，我企业（公司）均予以认可。有关法律责任均由我企业（公司）承担。（</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）无转委托权。</w:t>
      </w:r>
      <w:r/>
    </w:p>
    <w:p>
      <w:pPr>
        <w:ind w:firstLine="600"/>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委托期限自</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年</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月</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日起至</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年</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月</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日止。</w:t>
      </w:r>
      <w:r/>
    </w:p>
    <w:p>
      <w:pPr>
        <w:ind w:firstLine="630"/>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特此授权委托。</w:t>
      </w:r>
      <w:r/>
    </w:p>
    <w:p>
      <w:pPr>
        <w:ind w:firstLine="600"/>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p>
      <w:pPr>
        <w:ind w:firstLine="600"/>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委托人（电子签章）：</w:t>
      </w:r>
      <w:r/>
    </w:p>
    <w:p>
      <w:pPr>
        <w:ind w:firstLine="600"/>
        <w:spacing w:line="360" w:lineRule="auto"/>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法定代表人（负责人）（签字或盖章）： </w:t>
      </w:r>
      <w:r/>
    </w:p>
    <w:p>
      <w:pPr>
        <w:ind w:firstLine="600"/>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受托人（签字或盖章）：</w:t>
      </w:r>
      <w:r/>
    </w:p>
    <w:p>
      <w:pPr>
        <w:pStyle w:val="930"/>
        <w:ind w:left="0" w:firstLine="602"/>
        <w:spacing w:line="360" w:lineRule="auto"/>
        <w:rPr>
          <w:rFonts w:ascii="宋体" w:hAnsi="宋体" w:cs="宋体"/>
          <w:color w:val="auto"/>
          <w:sz w:val="28"/>
          <w:szCs w:val="28"/>
          <w:highlight w:val="none"/>
        </w:rPr>
      </w:pPr>
      <w:r>
        <w:rPr>
          <w:rFonts w:hint="eastAsia" w:ascii="宋体" w:hAnsi="宋体" w:cs="宋体"/>
          <w:b/>
          <w:bCs/>
          <w:color w:val="auto"/>
          <w:sz w:val="28"/>
          <w:szCs w:val="28"/>
          <w:highlight w:val="none"/>
        </w:rPr>
        <w:t xml:space="preserve">受托人联系方式：          邮箱：</w:t>
      </w:r>
      <w:r/>
    </w:p>
    <w:p>
      <w:pPr>
        <w:ind w:right="600" w:firstLine="6150"/>
        <w:spacing w:line="360" w:lineRule="auto"/>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年  月 日 </w:t>
      </w:r>
      <w:r/>
    </w:p>
    <w:p>
      <w:pPr>
        <w:spacing w:line="360" w:lineRule="auto"/>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(受托人身份证扫描件附后)</w:t>
      </w:r>
      <w:r/>
    </w:p>
    <w:p>
      <w:pPr>
        <w:ind w:firstLine="600"/>
        <w:jc w:val="center"/>
        <w:spacing w:before="100" w:after="100" w:line="479" w:lineRule="atLeast"/>
        <w:rPr>
          <w:rFonts w:ascii="宋体" w:hAnsi="宋体" w:cs="宋体"/>
          <w:b/>
          <w:bCs/>
          <w:color w:val="auto"/>
          <w:sz w:val="24"/>
          <w:szCs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ascii="宋体" w:hAnsi="宋体" w:cs="宋体"/>
          <w:b/>
          <w:bCs/>
          <w:color w:val="auto"/>
          <w:sz w:val="24"/>
          <w:szCs w:val="32"/>
          <w:highlight w:val="none"/>
        </w:rPr>
      </w:r>
      <w:r/>
    </w:p>
    <w:p>
      <w:pPr>
        <w:jc w:val="center"/>
        <w:spacing w:line="360" w:lineRule="auto"/>
        <w:rPr>
          <w:rFonts w:hint="eastAsia" w:ascii="宋体" w:hAnsi="宋体" w:cs="宋体"/>
          <w:b/>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highlight w:val="none"/>
        </w:rPr>
        <w:t xml:space="preserve">六、中小企业声明函格式</w:t>
      </w:r>
      <w:r/>
    </w:p>
    <w:p>
      <w:pPr>
        <w:spacing w:before="100" w:after="100"/>
        <w:rPr>
          <w:rFonts w:ascii="宋体" w:hAnsi="宋体" w:cs="宋体"/>
          <w:color w:val="auto"/>
          <w:sz w:val="22"/>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szCs w:val="28"/>
          <w:highlight w:val="none"/>
        </w:rPr>
      </w:r>
      <w:r/>
    </w:p>
    <w:p>
      <w:pPr>
        <w:spacing w:before="100" w:after="100"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项目编号：</w:t>
      </w:r>
      <w:r/>
    </w:p>
    <w:p>
      <w:pP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项目名称：</w:t>
      </w:r>
      <w:r/>
    </w:p>
    <w:p>
      <w:pPr>
        <w:ind w:firstLine="48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本公司郑重声明，根据《政府采购促进中小企业发展管理办法》（财库[2020]46号）的规定，本公司参加（</w:t>
      </w:r>
      <w:r>
        <w:rPr>
          <w:rFonts w:hint="eastAsia" w:ascii="宋体" w:hAnsi="宋体" w:cs="宋体"/>
          <w:color w:val="auto"/>
          <w:sz w:val="28"/>
          <w:szCs w:val="28"/>
          <w:highlight w:val="none"/>
          <w:u w:val="single"/>
          <w:lang w:eastAsia="zh-CN"/>
        </w:rPr>
        <w:t xml:space="preserve">徐州市第一人民医院</w:t>
      </w:r>
      <w:r>
        <w:rPr>
          <w:rFonts w:hint="eastAsia" w:ascii="宋体" w:hAnsi="宋体" w:cs="宋体"/>
          <w:color w:val="auto"/>
          <w:sz w:val="28"/>
          <w:szCs w:val="28"/>
          <w:highlight w:val="none"/>
        </w:rPr>
        <w:t xml:space="preserve">）的（</w:t>
      </w:r>
      <w:r>
        <w:rPr>
          <w:rFonts w:hint="eastAsia" w:ascii="宋体" w:hAnsi="宋体" w:cs="宋体"/>
          <w:color w:val="auto"/>
          <w:sz w:val="28"/>
          <w:szCs w:val="28"/>
          <w:highlight w:val="none"/>
          <w:u w:val="single"/>
          <w:lang w:eastAsia="zh-CN"/>
        </w:rPr>
        <w:t xml:space="preserve">徐州市第一人民医院食堂原材料采购</w:t>
      </w:r>
      <w:r>
        <w:rPr>
          <w:rFonts w:hint="eastAsia" w:ascii="宋体" w:hAnsi="宋体" w:cs="宋体"/>
          <w:color w:val="auto"/>
          <w:sz w:val="28"/>
          <w:szCs w:val="28"/>
          <w:highlight w:val="none"/>
        </w:rPr>
        <w:t xml:space="preserve">）采购活动，服务全部由符合政策要求的中小企业承接。相关企业的具体情况如下：</w:t>
      </w:r>
      <w:r/>
    </w:p>
    <w:p>
      <w:pPr>
        <w:pStyle w:val="934"/>
        <w:ind w:left="0"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u w:val="single"/>
          <w:lang w:eastAsia="zh-CN"/>
        </w:rPr>
        <w:t xml:space="preserve">徐州市第一人民医院食堂原材料采购</w:t>
      </w:r>
      <w:r>
        <w:rPr>
          <w:rFonts w:hint="eastAsia" w:ascii="宋体" w:hAnsi="宋体" w:cs="宋体"/>
          <w:color w:val="auto"/>
          <w:sz w:val="28"/>
          <w:szCs w:val="28"/>
          <w:highlight w:val="none"/>
        </w:rPr>
        <w:t xml:space="preserve">），属于</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u w:val="single"/>
        </w:rPr>
        <w:t xml:space="preserve">批发业</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rPr>
        <w:t xml:space="preserve">行业；承接企业为（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），从业人员（</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）人，营业收入为（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万元），资产总额为（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万元），属于</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 xml:space="preserve">（中型企业、小型企业、微型企业</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rPr>
        <w:t xml:space="preserve">请</w:t>
      </w:r>
      <w:r>
        <w:rPr>
          <w:rFonts w:hint="eastAsia" w:ascii="宋体" w:hAnsi="宋体" w:cs="宋体"/>
          <w:color w:val="auto"/>
          <w:sz w:val="28"/>
          <w:szCs w:val="28"/>
          <w:highlight w:val="none"/>
          <w:lang w:val="en-US" w:eastAsia="zh-CN"/>
        </w:rPr>
        <w:t xml:space="preserve">填写或</w:t>
      </w:r>
      <w:r>
        <w:rPr>
          <w:rFonts w:hint="eastAsia" w:ascii="宋体" w:hAnsi="宋体" w:cs="宋体"/>
          <w:color w:val="auto"/>
          <w:sz w:val="28"/>
          <w:szCs w:val="28"/>
          <w:highlight w:val="none"/>
        </w:rPr>
        <w:t xml:space="preserve">勾选！</w:t>
      </w:r>
      <w:r>
        <w:rPr>
          <w:rFonts w:hint="eastAsia" w:ascii="宋体" w:hAnsi="宋体" w:cs="宋体"/>
          <w:color w:val="auto"/>
          <w:sz w:val="28"/>
          <w:szCs w:val="28"/>
          <w:highlight w:val="none"/>
        </w:rPr>
        <w:t xml:space="preserve">）；</w:t>
      </w:r>
      <w:r/>
    </w:p>
    <w:p>
      <w:pPr>
        <w:pStyle w:val="934"/>
        <w:ind w:left="0"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w:t>
      </w:r>
      <w:r/>
    </w:p>
    <w:p>
      <w:pPr>
        <w:pStyle w:val="934"/>
        <w:ind w:left="0"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以上企业，不属于大企业的分支机构，不存在控股股东为大企业的情形，也不存在与大企业的负责人为同一人的情形。</w:t>
      </w:r>
      <w:r/>
    </w:p>
    <w:p>
      <w:pPr>
        <w:spacing w:line="360" w:lineRule="auto"/>
        <w:rPr>
          <w:rFonts w:ascii="宋体" w:hAnsi="宋体" w:cs="宋体"/>
          <w:b/>
          <w:bCs/>
          <w:color w:val="auto"/>
          <w:sz w:val="28"/>
          <w:szCs w:val="28"/>
          <w:highlight w:val="none"/>
        </w:rPr>
      </w:pPr>
      <w:r>
        <w:rPr>
          <w:rFonts w:hint="eastAsia" w:ascii="宋体" w:hAnsi="宋体" w:cs="宋体"/>
          <w:color w:val="auto"/>
          <w:sz w:val="28"/>
          <w:szCs w:val="28"/>
          <w:highlight w:val="none"/>
        </w:rPr>
        <w:t xml:space="preserve">本企业对上述声明内容的真实性负责。如有虚假，将依法承担相应责任。</w:t>
      </w:r>
      <w:r/>
    </w:p>
    <w:p>
      <w:pPr>
        <w:pStyle w:val="934"/>
        <w:spacing w:line="360" w:lineRule="auto"/>
        <w:rPr>
          <w:rFonts w:ascii="宋体" w:hAnsi="宋体" w:cs="宋体"/>
          <w:b/>
          <w:bCs/>
          <w:color w:val="auto"/>
          <w:sz w:val="28"/>
          <w:szCs w:val="28"/>
          <w:highlight w:val="none"/>
        </w:rPr>
      </w:pPr>
      <w:r>
        <w:rPr>
          <w:rFonts w:ascii="宋体" w:hAnsi="宋体" w:cs="宋体"/>
          <w:b/>
          <w:bCs/>
          <w:color w:val="auto"/>
          <w:sz w:val="28"/>
          <w:szCs w:val="28"/>
          <w:highlight w:val="none"/>
        </w:rPr>
      </w:r>
      <w:r/>
    </w:p>
    <w:p>
      <w:pPr>
        <w:pStyle w:val="934"/>
        <w:spacing w:line="360" w:lineRule="auto"/>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企业名称（电子签章）：</w:t>
      </w:r>
      <w:r/>
    </w:p>
    <w:p>
      <w:pPr>
        <w:pStyle w:val="934"/>
        <w:spacing w:line="360" w:lineRule="auto"/>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日期：  年  月  日</w:t>
      </w:r>
      <w:r/>
    </w:p>
    <w:p>
      <w:pPr>
        <w:pStyle w:val="934"/>
        <w:ind w:left="0"/>
        <w:jc w:val="left"/>
        <w:spacing w:after="0" w:line="360" w:lineRule="auto"/>
        <w:rPr>
          <w:rFonts w:ascii="宋体" w:hAnsi="宋体" w:cs="宋体"/>
          <w:b/>
          <w:bCs/>
          <w:color w:val="auto"/>
          <w:sz w:val="28"/>
          <w:szCs w:val="28"/>
          <w:highlight w:val="none"/>
        </w:rPr>
      </w:pPr>
      <w:r>
        <w:rPr>
          <w:rFonts w:ascii="宋体" w:hAnsi="宋体" w:cs="宋体"/>
          <w:b/>
          <w:bCs/>
          <w:color w:val="auto"/>
          <w:sz w:val="28"/>
          <w:szCs w:val="28"/>
          <w:highlight w:val="none"/>
        </w:rPr>
      </w:r>
      <w:r/>
    </w:p>
    <w:p>
      <w:pPr>
        <w:pStyle w:val="934"/>
        <w:ind w:left="0"/>
        <w:jc w:val="left"/>
        <w:keepLines w:val="0"/>
        <w:keepNext w:val="0"/>
        <w:pageBreakBefore w:val="0"/>
        <w:spacing w:after="0" w:line="360" w:lineRule="auto"/>
        <w:widowControl w:val="off"/>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说明：</w:t>
      </w:r>
      <w:r/>
    </w:p>
    <w:p>
      <w:pPr>
        <w:pStyle w:val="934"/>
        <w:ind w:left="0"/>
        <w:keepLines w:val="0"/>
        <w:keepNext w:val="0"/>
        <w:pageBreakBefore w:val="0"/>
        <w:spacing w:after="0" w:line="360" w:lineRule="auto"/>
        <w:widowControl w:val="off"/>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934"/>
        <w:ind w:left="0"/>
        <w:keepLines w:val="0"/>
        <w:keepNext w:val="0"/>
        <w:pageBreakBefore w:val="0"/>
        <w:spacing w:after="0" w:line="360" w:lineRule="auto"/>
        <w:widowControl w:val="off"/>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2、从业人员、营业收入、资产总额填报供应商上一年度数据，无上一年度数据的新成立企业可不填报。</w:t>
      </w:r>
      <w:r/>
    </w:p>
    <w:p>
      <w:pPr>
        <w:pStyle w:val="934"/>
        <w:ind w:left="0"/>
        <w:keepLines w:val="0"/>
        <w:keepNext w:val="0"/>
        <w:pageBreakBefore w:val="0"/>
        <w:spacing w:after="0" w:line="360" w:lineRule="auto"/>
        <w:widowControl w:val="off"/>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3、中标、成交供应商为小型、微型企业的，采购人或者其委托的采购代理机构有权随中标、成交结果同时公告其《中小企业声明函》，接受社会监督。</w:t>
      </w:r>
      <w:r/>
    </w:p>
    <w:p>
      <w:pPr>
        <w:pStyle w:val="934"/>
        <w:ind w:left="0"/>
        <w:keepLines w:val="0"/>
        <w:keepNext w:val="0"/>
        <w:pageBreakBefore w:val="0"/>
        <w:spacing w:after="0" w:line="360" w:lineRule="auto"/>
        <w:widowControl w:val="off"/>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4、执行江苏省财政厅关于进一步加大政府采购支持中小企业力度的通知（苏财购〔2022〕45号）的规定。</w:t>
      </w:r>
      <w:r/>
    </w:p>
    <w:p>
      <w:pPr>
        <w:pStyle w:val="934"/>
        <w:ind w:left="0"/>
        <w:keepLines w:val="0"/>
        <w:keepNext w:val="0"/>
        <w:pageBreakBefore w:val="0"/>
        <w:spacing w:after="0" w:line="360" w:lineRule="auto"/>
        <w:widowControl w:val="off"/>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5、供应商提供的《中小企业声明函》与事实不符的，依照《政府采购法》第七十七条第一款的规定追究法律责任。</w:t>
      </w:r>
      <w:r/>
    </w:p>
    <w:p>
      <w:pPr>
        <w:pStyle w:val="934"/>
        <w:ind w:left="0"/>
        <w:keepLines w:val="0"/>
        <w:keepNext w:val="0"/>
        <w:pageBreakBefore w:val="0"/>
        <w:spacing w:after="0" w:line="360" w:lineRule="auto"/>
        <w:widowControl w:val="off"/>
        <w:rPr>
          <w:rFonts w:ascii="宋体" w:hAnsi="宋体" w:cs="宋体"/>
          <w:color w:val="auto"/>
          <w:sz w:val="28"/>
          <w:szCs w:val="28"/>
          <w:highlight w:val="none"/>
        </w:rPr>
      </w:pPr>
      <w:r>
        <w:rPr>
          <w:rFonts w:hint="eastAsia" w:ascii="宋体" w:hAnsi="宋体" w:cs="宋体"/>
          <w:b/>
          <w:bCs/>
          <w:color w:val="auto"/>
          <w:sz w:val="28"/>
          <w:szCs w:val="28"/>
          <w:highlight w:val="none"/>
        </w:rPr>
        <w:t xml:space="preserve">6、《中小企业声明函》查询渠道用微信搜索“中小企业规模类型自测小程序”。看下列截图：</w:t>
      </w:r>
      <w:r/>
    </w:p>
    <w:p>
      <w:pPr>
        <w:pStyle w:val="918"/>
        <w:jc w:val="center"/>
        <w:rPr>
          <w:rFonts w:ascii="宋体" w:hAnsi="宋体" w:cs="宋体"/>
          <w:color w:val="auto"/>
          <w:sz w:val="18"/>
          <w:highlight w:val="none"/>
        </w:rPr>
      </w:pPr>
      <w:r>
        <w:rPr>
          <w:rFonts w:hint="eastAsia" w:ascii="宋体" w:hAnsi="宋体" w:cs="宋体"/>
          <w:color w:val="auto"/>
          <w:sz w:val="18"/>
          <w:highlight w:val="none"/>
        </w:rPr>
        <mc:AlternateContent>
          <mc:Choice Requires="wpg">
            <w:drawing>
              <wp:inline xmlns:wp="http://schemas.openxmlformats.org/drawingml/2006/wordprocessingDrawing" distT="0" distB="0" distL="0" distR="0">
                <wp:extent cx="2048510" cy="3340100"/>
                <wp:effectExtent l="0" t="0" r="8890" b="12700"/>
                <wp:docPr id="4" name="图片 7"/>
                <wp:cNvGraphicFramePr/>
                <a:graphic xmlns:a="http://schemas.openxmlformats.org/drawingml/2006/main">
                  <a:graphicData uri="http://schemas.openxmlformats.org/drawingml/2006/picture">
                    <pic:pic xmlns:pic="http://schemas.openxmlformats.org/drawingml/2006/picture">
                      <pic:nvPicPr>
                        <pic:cNvPr id="4" name="图片 7"/>
                        <pic:cNvPicPr/>
                        <pic:nvPr/>
                      </pic:nvPicPr>
                      <pic:blipFill>
                        <a:blip r:embed="rId15"/>
                        <a:srcRect l="0" t="4805" r="0" b="0"/>
                        <a:stretch/>
                      </pic:blipFill>
                      <pic:spPr bwMode="auto">
                        <a:xfrm>
                          <a:off x="0" y="0"/>
                          <a:ext cx="2048510" cy="3340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61.3pt;height:263.0pt;mso-wrap-distance-left:0.0pt;mso-wrap-distance-top:0.0pt;mso-wrap-distance-right:0.0pt;mso-wrap-distance-bottom:0.0pt;" stroked="f">
                <v:path textboxrect="0,0,0,0"/>
                <v:imagedata r:id="rId15" o:title=""/>
              </v:shape>
            </w:pict>
          </mc:Fallback>
        </mc:AlternateContent>
      </w:r>
      <w:r>
        <w:rPr>
          <w:rFonts w:hint="eastAsia" w:ascii="宋体" w:hAnsi="宋体" w:cs="宋体"/>
          <w:color w:val="auto"/>
          <w:highlight w:val="none"/>
        </w:rPr>
        <w:br w:type="page" w:clear="all"/>
      </w:r>
      <w:r/>
    </w:p>
    <w:p>
      <w:pPr>
        <w:jc w:val="center"/>
        <w:spacing w:line="360" w:lineRule="auto"/>
        <w:rPr>
          <w:rFonts w:hint="eastAsia" w:ascii="宋体" w:hAnsi="宋体" w:cs="宋体"/>
          <w:b/>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highlight w:val="none"/>
        </w:rPr>
        <w:t xml:space="preserve">七、残疾人福利性单位声明函格式</w:t>
      </w:r>
      <w:r/>
    </w:p>
    <w:p>
      <w:pPr>
        <w:jc w:val="center"/>
        <w:spacing w:line="360" w:lineRule="auto"/>
        <w:rPr>
          <w:rFonts w:hint="eastAsia"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（如投标人不属于残疾人福利性单位不需要提供此声明函）</w:t>
      </w:r>
      <w:r/>
    </w:p>
    <w:p>
      <w:pPr>
        <w:ind w:firstLine="624"/>
        <w:spacing w:line="360" w:lineRule="auto"/>
        <w:rPr>
          <w:rFonts w:ascii="宋体" w:hAnsi="宋体" w:cs="宋体"/>
          <w:color w:val="auto"/>
          <w:spacing w:val="6"/>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pacing w:val="6"/>
          <w:sz w:val="28"/>
          <w:szCs w:val="28"/>
          <w:highlight w:val="none"/>
        </w:rPr>
      </w:r>
      <w:r/>
    </w:p>
    <w:p>
      <w:pPr>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8"/>
          <w:szCs w:val="28"/>
          <w:highlight w:val="none"/>
        </w:rPr>
        <w:t xml:space="preserve">项目编号：</w:t>
      </w:r>
      <w:r/>
    </w:p>
    <w:p>
      <w:pPr>
        <w:spacing w:line="360" w:lineRule="auto"/>
        <w:rPr>
          <w:rFonts w:ascii="宋体" w:hAnsi="宋体" w:cs="宋体"/>
          <w:color w:val="auto"/>
          <w:sz w:val="28"/>
          <w:szCs w:val="28"/>
          <w:highlight w:val="none"/>
        </w:rPr>
      </w:pPr>
      <w:r>
        <w:rPr>
          <w:rFonts w:hint="eastAsia" w:ascii="宋体" w:hAnsi="宋体" w:cs="宋体"/>
          <w:color w:val="auto"/>
          <w:spacing w:val="6"/>
          <w:sz w:val="28"/>
          <w:szCs w:val="28"/>
          <w:highlight w:val="none"/>
        </w:rPr>
        <w:t xml:space="preserve">项目名称：</w:t>
      </w:r>
      <w:r/>
    </w:p>
    <w:p>
      <w:pPr>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p>
      <w:pPr>
        <w:ind w:firstLine="624"/>
        <w:spacing w:line="360" w:lineRule="auto"/>
        <w:rPr>
          <w:rFonts w:ascii="宋体" w:hAnsi="宋体" w:cs="宋体"/>
          <w:color w:val="auto"/>
          <w:spacing w:val="6"/>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pacing w:val="6"/>
          <w:sz w:val="28"/>
          <w:szCs w:val="28"/>
          <w:highlight w:val="none"/>
        </w:rPr>
      </w:r>
      <w:r/>
    </w:p>
    <w:p>
      <w:pPr>
        <w:ind w:firstLine="624"/>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8"/>
          <w:szCs w:val="28"/>
          <w:highlight w:val="none"/>
        </w:rPr>
        <w:t xml:space="preserve">本单位郑重声明，根据《财政部 民政部 中国残疾人联合会关于促进残疾人就业政府采购政策的通知》（财库</w:t>
      </w:r>
      <w:r>
        <w:rPr>
          <w:rFonts w:hint="eastAsia" w:ascii="宋体" w:hAnsi="宋体" w:cs="宋体"/>
          <w:color w:val="auto"/>
          <w:sz w:val="28"/>
          <w:szCs w:val="28"/>
          <w:highlight w:val="none"/>
        </w:rPr>
        <w:t xml:space="preserve">〔2017〕 141</w:t>
      </w:r>
      <w:r>
        <w:rPr>
          <w:rFonts w:hint="eastAsia" w:ascii="宋体" w:hAnsi="宋体" w:cs="宋体"/>
          <w:color w:val="auto"/>
          <w:spacing w:val="6"/>
          <w:sz w:val="28"/>
          <w:szCs w:val="28"/>
          <w:highlight w:val="none"/>
        </w:rPr>
        <w:t xml:space="preserve">号）的规定，本单位为符合条件的残疾人福利性单位，且本单位参加</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pacing w:val="6"/>
          <w:sz w:val="28"/>
          <w:szCs w:val="28"/>
          <w:highlight w:val="none"/>
        </w:rPr>
        <w:t xml:space="preserve">单位的</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pacing w:val="6"/>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8"/>
          <w:szCs w:val="28"/>
          <w:highlight w:val="none"/>
        </w:rPr>
        <w:t xml:space="preserve">本单位对上述声明的真实性负责。如有虚假，将依法承担相应责任。</w:t>
      </w:r>
      <w:r/>
    </w:p>
    <w:p>
      <w:pPr>
        <w:ind w:firstLine="624"/>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8"/>
          <w:szCs w:val="28"/>
          <w:highlight w:val="none"/>
        </w:rPr>
        <w:t xml:space="preserve"> </w:t>
      </w:r>
      <w:r/>
    </w:p>
    <w:p>
      <w:pPr>
        <w:ind w:firstLine="624"/>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8"/>
          <w:szCs w:val="28"/>
          <w:highlight w:val="none"/>
        </w:rPr>
        <w:t xml:space="preserve"> </w:t>
      </w:r>
      <w:r/>
    </w:p>
    <w:p>
      <w:pPr>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投标人：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（电子签章）</w:t>
      </w:r>
      <w:r/>
    </w:p>
    <w:p>
      <w:pPr>
        <w:ind w:firstLine="4500"/>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p>
      <w:pPr>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日期： 年 月 日</w:t>
      </w:r>
      <w:r/>
    </w:p>
    <w:p>
      <w:pPr>
        <w:ind w:firstLine="4500"/>
        <w:spacing w:line="479" w:lineRule="atLeast"/>
        <w:rPr>
          <w:rFonts w:ascii="宋体" w:hAnsi="宋体" w:cs="宋体"/>
          <w:color w:val="auto"/>
          <w:sz w:val="1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ind w:firstLine="600"/>
        <w:spacing w:line="479" w:lineRule="atLeast"/>
        <w:rPr>
          <w:rFonts w:ascii="宋体" w:hAnsi="宋体" w:cs="宋体"/>
          <w:color w:val="auto"/>
          <w:sz w:val="1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jc w:val="center"/>
        <w:spacing w:line="360" w:lineRule="auto"/>
        <w:rPr>
          <w:rFonts w:ascii="宋体" w:hAnsi="宋体" w:cs="宋体"/>
          <w:b/>
          <w:bCs/>
          <w:color w:val="auto"/>
          <w:sz w:val="24"/>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18"/>
          <w:highlight w:val="none"/>
        </w:rPr>
        <w:br w:type="page" w:clear="all"/>
      </w:r>
      <w:r>
        <w:rPr>
          <w:rFonts w:hint="eastAsia" w:ascii="宋体" w:hAnsi="宋体" w:cs="宋体"/>
          <w:b/>
          <w:bCs/>
          <w:color w:val="auto"/>
          <w:sz w:val="30"/>
          <w:szCs w:val="30"/>
          <w:highlight w:val="none"/>
        </w:rPr>
        <w:t xml:space="preserve">八、投标人参加政府采购活动前3年内在经营活动中没有重大违法记录的书面声明格式</w:t>
      </w:r>
      <w:r/>
    </w:p>
    <w:p>
      <w:pPr>
        <w:ind w:firstLine="600"/>
        <w:spacing w:line="479" w:lineRule="atLeast"/>
        <w:rPr>
          <w:rFonts w:ascii="宋体" w:hAnsi="宋体" w:cs="宋体"/>
          <w:color w:val="auto"/>
          <w:sz w:val="1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ind w:firstLine="600"/>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我单位在参加</w:t>
      </w:r>
      <w:r>
        <w:rPr>
          <w:rFonts w:hint="eastAsia" w:ascii="宋体" w:hAnsi="宋体" w:cs="宋体"/>
          <w:color w:val="auto"/>
          <w:sz w:val="28"/>
          <w:szCs w:val="28"/>
          <w:highlight w:val="none"/>
          <w:u w:val="single"/>
          <w:lang w:eastAsia="zh-CN"/>
        </w:rPr>
        <w:t xml:space="preserve">徐州市第一人民医院食堂原材料采购</w:t>
      </w:r>
      <w:r>
        <w:rPr>
          <w:rFonts w:hint="eastAsia" w:ascii="宋体" w:hAnsi="宋体" w:cs="宋体"/>
          <w:color w:val="auto"/>
          <w:sz w:val="28"/>
          <w:szCs w:val="28"/>
          <w:highlight w:val="none"/>
        </w:rPr>
        <w:t xml:space="preserve">项目（项目编号：</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我单位对上述声明的真实性负责。如有虚假，将依法承担相应责任。</w:t>
      </w:r>
      <w:r/>
    </w:p>
    <w:p>
      <w:pPr>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p>
      <w:pPr>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p>
      <w:pPr>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投标人：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（电子签章）</w:t>
      </w:r>
      <w:r/>
    </w:p>
    <w:p>
      <w:pPr>
        <w:ind w:firstLine="4500"/>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p>
      <w:pPr>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日期：</w:t>
      </w: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rPr>
        <w:t xml:space="preserve">年</w:t>
      </w: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rPr>
        <w:t xml:space="preserve">月</w:t>
      </w: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rPr>
        <w:t xml:space="preserve">日</w:t>
      </w:r>
      <w:r/>
    </w:p>
    <w:p>
      <w:pPr>
        <w:jc w:val="center"/>
        <w:spacing w:line="85" w:lineRule="atLeast"/>
        <w:rPr>
          <w:rFonts w:ascii="宋体" w:hAnsi="宋体" w:cs="宋体"/>
          <w:color w:val="auto"/>
          <w:sz w:val="1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 </w:t>
      </w:r>
      <w:r/>
    </w:p>
    <w:p>
      <w:pPr>
        <w:jc w:val="center"/>
        <w:spacing w:line="85" w:lineRule="atLeast"/>
        <w:rPr>
          <w:rFonts w:ascii="宋体" w:hAnsi="宋体" w:cs="宋体"/>
          <w:color w:val="auto"/>
          <w:sz w:val="1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 </w:t>
      </w:r>
      <w:r/>
    </w:p>
    <w:p>
      <w:pPr>
        <w:jc w:val="center"/>
        <w:spacing w:line="85" w:lineRule="atLeast"/>
        <w:rPr>
          <w:rFonts w:ascii="宋体" w:hAnsi="宋体" w:cs="宋体"/>
          <w:color w:val="auto"/>
          <w:sz w:val="1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 </w:t>
      </w:r>
      <w:r/>
    </w:p>
    <w:p>
      <w:pPr>
        <w:jc w:val="center"/>
        <w:spacing w:line="85" w:lineRule="atLeast"/>
        <w:rPr>
          <w:rFonts w:ascii="宋体" w:hAnsi="宋体" w:cs="宋体"/>
          <w:color w:val="auto"/>
          <w:sz w:val="1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 </w:t>
      </w:r>
      <w:r/>
    </w:p>
    <w:p>
      <w:pPr>
        <w:jc w:val="center"/>
        <w:spacing w:line="85" w:lineRule="atLeast"/>
        <w:rPr>
          <w:rFonts w:ascii="宋体" w:hAnsi="宋体" w:cs="宋体"/>
          <w:color w:val="auto"/>
          <w:sz w:val="1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 </w:t>
      </w:r>
      <w:r/>
    </w:p>
    <w:p>
      <w:pPr>
        <w:jc w:val="center"/>
        <w:spacing w:line="85" w:lineRule="atLeast"/>
        <w:rPr>
          <w:rFonts w:ascii="宋体" w:hAnsi="宋体" w:cs="宋体"/>
          <w:color w:val="auto"/>
          <w:sz w:val="1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 </w:t>
      </w:r>
      <w:r/>
    </w:p>
    <w:p>
      <w:pPr>
        <w:jc w:val="center"/>
        <w:spacing w:line="85" w:lineRule="atLeast"/>
        <w:rPr>
          <w:rFonts w:ascii="宋体" w:hAnsi="宋体" w:cs="宋体"/>
          <w:color w:val="auto"/>
          <w:sz w:val="1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 </w:t>
      </w:r>
      <w:r/>
    </w:p>
    <w:p>
      <w:pPr>
        <w:jc w:val="center"/>
        <w:spacing w:line="85" w:lineRule="atLeast"/>
        <w:rPr>
          <w:rFonts w:ascii="宋体" w:hAnsi="宋体" w:cs="宋体"/>
          <w:color w:val="auto"/>
          <w:sz w:val="1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 </w:t>
      </w:r>
      <w:r/>
    </w:p>
    <w:p>
      <w:pPr>
        <w:jc w:val="center"/>
        <w:spacing w:line="85" w:lineRule="atLeast"/>
        <w:rPr>
          <w:rFonts w:ascii="宋体" w:hAnsi="宋体" w:cs="宋体"/>
          <w:color w:val="auto"/>
          <w:sz w:val="1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 </w:t>
      </w:r>
      <w:r/>
    </w:p>
    <w:p>
      <w:pPr>
        <w:jc w:val="center"/>
        <w:spacing w:line="85" w:lineRule="atLeast"/>
        <w:rPr>
          <w:rFonts w:ascii="宋体" w:hAnsi="宋体" w:cs="宋体"/>
          <w:color w:val="auto"/>
          <w:sz w:val="1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 </w:t>
      </w:r>
      <w:r/>
    </w:p>
    <w:p>
      <w:pPr>
        <w:jc w:val="center"/>
        <w:spacing w:line="85" w:lineRule="atLeast"/>
        <w:rPr>
          <w:rFonts w:ascii="宋体" w:hAnsi="宋体" w:cs="宋体"/>
          <w:color w:val="auto"/>
          <w:sz w:val="1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 </w:t>
      </w:r>
      <w:r/>
    </w:p>
    <w:p>
      <w:pPr>
        <w:jc w:val="center"/>
        <w:spacing w:line="85" w:lineRule="atLeast"/>
        <w:rPr>
          <w:rFonts w:ascii="宋体" w:hAnsi="宋体" w:cs="宋体"/>
          <w:color w:val="auto"/>
          <w:sz w:val="1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 </w:t>
      </w:r>
      <w:r/>
    </w:p>
    <w:p>
      <w:pPr>
        <w:jc w:val="center"/>
        <w:spacing w:line="85" w:lineRule="atLeast"/>
        <w:rPr>
          <w:rFonts w:ascii="宋体" w:hAnsi="宋体" w:cs="宋体"/>
          <w:color w:val="auto"/>
          <w:sz w:val="1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 </w:t>
      </w:r>
      <w:r/>
    </w:p>
    <w:p>
      <w:pPr>
        <w:jc w:val="center"/>
        <w:spacing w:line="85" w:lineRule="atLeast"/>
        <w:rPr>
          <w:rFonts w:ascii="宋体" w:hAnsi="宋体" w:cs="宋体"/>
          <w:color w:val="auto"/>
          <w:sz w:val="1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 </w:t>
      </w:r>
      <w:r/>
    </w:p>
    <w:p>
      <w:pPr>
        <w:jc w:val="center"/>
        <w:spacing w:line="85" w:lineRule="atLeast"/>
        <w:rPr>
          <w:rFonts w:ascii="宋体" w:hAnsi="宋体" w:cs="宋体"/>
          <w:color w:val="auto"/>
          <w:sz w:val="1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 </w:t>
      </w:r>
      <w:r/>
    </w:p>
    <w:p>
      <w:pPr>
        <w:ind w:firstLine="600"/>
        <w:jc w:val="center"/>
        <w:spacing w:line="479"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ascii="宋体" w:hAnsi="宋体" w:cs="宋体"/>
          <w:color w:val="auto"/>
          <w:sz w:val="24"/>
          <w:highlight w:val="none"/>
        </w:rPr>
      </w:r>
      <w:r/>
    </w:p>
    <w:p>
      <w:pPr>
        <w:jc w:val="center"/>
        <w:spacing w:line="360" w:lineRule="auto"/>
        <w:rPr>
          <w:rFonts w:hint="eastAsia" w:ascii="宋体" w:hAnsi="宋体" w:cs="宋体"/>
          <w:b/>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highlight w:val="none"/>
          <w:lang w:val="en-US" w:eastAsia="zh-CN"/>
        </w:rPr>
        <w:t xml:space="preserve">九</w:t>
      </w:r>
      <w:r>
        <w:rPr>
          <w:rFonts w:hint="eastAsia" w:ascii="宋体" w:hAnsi="宋体" w:cs="宋体"/>
          <w:b/>
          <w:bCs/>
          <w:color w:val="auto"/>
          <w:sz w:val="30"/>
          <w:szCs w:val="30"/>
          <w:highlight w:val="none"/>
        </w:rPr>
        <w:t xml:space="preserve">、供货、质量安全保证书</w:t>
      </w:r>
      <w:r/>
    </w:p>
    <w:p>
      <w:pPr>
        <w:ind w:firstLine="548"/>
        <w:rPr>
          <w:rFonts w:ascii="仿宋" w:hAnsi="仿宋" w:eastAsia="仿宋" w:cs="仿宋"/>
          <w:bCs/>
          <w:color w:val="auto"/>
          <w:sz w:val="22"/>
          <w:szCs w:val="28"/>
          <w:highlight w:val="none"/>
        </w:rPr>
      </w:pPr>
      <w:r>
        <w:rPr>
          <w:rFonts w:ascii="仿宋" w:hAnsi="仿宋" w:eastAsia="仿宋" w:cs="仿宋"/>
          <w:bCs/>
          <w:color w:val="auto"/>
          <w:sz w:val="22"/>
          <w:szCs w:val="28"/>
          <w:highlight w:val="none"/>
        </w:rPr>
      </w:r>
      <w:r/>
    </w:p>
    <w:p>
      <w:pPr>
        <w:spacing w:line="360" w:lineRule="auto"/>
        <w:rPr>
          <w:rFonts w:ascii="宋体" w:hAnsi="宋体" w:cs="宋体"/>
          <w:color w:val="auto"/>
          <w:sz w:val="22"/>
          <w:szCs w:val="28"/>
          <w:highlight w:val="none"/>
        </w:rPr>
      </w:pPr>
      <w:r>
        <w:rPr>
          <w:rFonts w:ascii="宋体" w:hAnsi="宋体" w:cs="宋体"/>
          <w:color w:val="auto"/>
          <w:sz w:val="22"/>
          <w:szCs w:val="28"/>
          <w:highlight w:val="none"/>
        </w:rPr>
      </w:r>
      <w:r/>
    </w:p>
    <w:p>
      <w:pP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项目编号：</w:t>
      </w:r>
      <w:r/>
    </w:p>
    <w:p>
      <w:pPr>
        <w:spacing w:line="360" w:lineRule="auto"/>
        <w:rPr>
          <w:rFonts w:ascii="宋体" w:hAnsi="宋体" w:cs="宋体"/>
          <w:color w:val="auto"/>
          <w:sz w:val="28"/>
          <w:szCs w:val="28"/>
          <w:highlight w:val="none"/>
          <w:u w:val="single"/>
        </w:rPr>
      </w:pPr>
      <w:r>
        <w:rPr>
          <w:rFonts w:hint="eastAsia" w:ascii="宋体" w:hAnsi="宋体" w:cs="宋体"/>
          <w:color w:val="auto"/>
          <w:sz w:val="28"/>
          <w:szCs w:val="28"/>
          <w:highlight w:val="none"/>
        </w:rPr>
        <w:t xml:space="preserve">项目名称：</w:t>
      </w:r>
      <w:r/>
    </w:p>
    <w:p>
      <w:pPr>
        <w:ind w:firstLine="584"/>
        <w:spacing w:line="360" w:lineRule="auto"/>
        <w:rPr>
          <w:rFonts w:ascii="宋体" w:hAnsi="宋体" w:cs="宋体"/>
          <w:color w:val="auto"/>
          <w:spacing w:val="6"/>
          <w:sz w:val="28"/>
          <w:szCs w:val="28"/>
          <w:highlight w:val="none"/>
        </w:rPr>
      </w:pPr>
      <w:r>
        <w:rPr>
          <w:rFonts w:ascii="宋体" w:hAnsi="宋体" w:cs="宋体"/>
          <w:color w:val="auto"/>
          <w:spacing w:val="6"/>
          <w:sz w:val="28"/>
          <w:szCs w:val="28"/>
          <w:highlight w:val="none"/>
        </w:rPr>
      </w:r>
      <w:r/>
    </w:p>
    <w:p>
      <w:pPr>
        <w:ind w:firstLine="584"/>
        <w:spacing w:line="360" w:lineRule="auto"/>
        <w:rPr>
          <w:rFonts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根据</w:t>
      </w:r>
      <w:r>
        <w:rPr>
          <w:rFonts w:hint="eastAsia" w:ascii="宋体" w:hAnsi="宋体" w:cs="宋体"/>
          <w:color w:val="auto"/>
          <w:spacing w:val="6"/>
          <w:sz w:val="28"/>
          <w:szCs w:val="28"/>
          <w:highlight w:val="none"/>
          <w:u w:val="single"/>
          <w:lang w:eastAsia="zh-CN"/>
        </w:rPr>
        <w:t xml:space="preserve">徐州市第一人民医院食堂原材料采购</w:t>
      </w:r>
      <w:r>
        <w:rPr>
          <w:rFonts w:hint="eastAsia" w:ascii="宋体" w:hAnsi="宋体" w:cs="宋体"/>
          <w:color w:val="auto"/>
          <w:spacing w:val="6"/>
          <w:sz w:val="28"/>
          <w:szCs w:val="28"/>
          <w:highlight w:val="none"/>
        </w:rPr>
        <w:t xml:space="preserve">项目（项目编号</w:t>
      </w:r>
      <w:r>
        <w:rPr>
          <w:rFonts w:hint="eastAsia" w:ascii="宋体" w:hAnsi="宋体" w:cs="宋体"/>
          <w:color w:val="auto"/>
          <w:spacing w:val="6"/>
          <w:sz w:val="28"/>
          <w:szCs w:val="28"/>
          <w:highlight w:val="none"/>
          <w:lang w:eastAsia="zh-CN"/>
        </w:rPr>
        <w:t xml:space="preserve">：</w:t>
      </w:r>
      <w:r>
        <w:rPr>
          <w:rFonts w:hint="eastAsia" w:ascii="宋体" w:hAnsi="宋体" w:cs="宋体"/>
          <w:color w:val="auto"/>
          <w:spacing w:val="6"/>
          <w:sz w:val="28"/>
          <w:szCs w:val="28"/>
          <w:highlight w:val="none"/>
          <w:u w:val="single"/>
        </w:rPr>
        <w:t xml:space="preserve">        </w:t>
      </w:r>
      <w:r>
        <w:rPr>
          <w:rFonts w:hint="eastAsia" w:ascii="宋体" w:hAnsi="宋体" w:cs="宋体"/>
          <w:color w:val="auto"/>
          <w:spacing w:val="6"/>
          <w:sz w:val="28"/>
          <w:szCs w:val="28"/>
          <w:highlight w:val="none"/>
        </w:rPr>
        <w:t xml:space="preserve">）招标文件的规定，如我单位在本项目中中标，我单位保证依法签订合同，所提供的产品的生产标准达到产品执行标准和投标文件响应程度，投标有效期及合同签订有效期内,保证按招标文件、投标文件响应要求及采购合同等具体要求向采购人提供所需食材并正常运行。如有违反,愿依法承担违约责任。</w:t>
      </w:r>
      <w:r/>
    </w:p>
    <w:p>
      <w:pPr>
        <w:ind w:firstLine="548"/>
        <w:spacing w:line="360" w:lineRule="auto"/>
        <w:rPr>
          <w:rFonts w:ascii="宋体" w:hAnsi="宋体" w:cs="宋体"/>
          <w:bCs/>
          <w:color w:val="auto"/>
          <w:sz w:val="28"/>
          <w:szCs w:val="28"/>
          <w:highlight w:val="none"/>
        </w:rPr>
      </w:pPr>
      <w:r>
        <w:rPr>
          <w:rFonts w:hint="eastAsia" w:ascii="宋体" w:hAnsi="宋体" w:cs="宋体"/>
          <w:color w:val="auto"/>
          <w:spacing w:val="6"/>
          <w:sz w:val="28"/>
          <w:szCs w:val="28"/>
          <w:highlight w:val="none"/>
        </w:rPr>
        <w:t xml:space="preserve">我单位保证提供的产品质量及货源保证书真实、合法，并愿承担一切法律责任。</w:t>
      </w:r>
      <w:r/>
    </w:p>
    <w:p>
      <w:pPr>
        <w:ind w:firstLine="548"/>
        <w:spacing w:line="360" w:lineRule="auto"/>
        <w:rPr>
          <w:rFonts w:ascii="宋体" w:hAnsi="宋体" w:cs="宋体"/>
          <w:bCs/>
          <w:color w:val="auto"/>
          <w:sz w:val="28"/>
          <w:szCs w:val="28"/>
          <w:highlight w:val="none"/>
        </w:rPr>
      </w:pPr>
      <w:r>
        <w:rPr>
          <w:rFonts w:ascii="宋体" w:hAnsi="宋体" w:cs="宋体"/>
          <w:bCs/>
          <w:color w:val="auto"/>
          <w:sz w:val="28"/>
          <w:szCs w:val="28"/>
          <w:highlight w:val="none"/>
        </w:rPr>
      </w:r>
      <w:r/>
    </w:p>
    <w:p>
      <w:pPr>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投标人：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（电子签章）</w:t>
      </w:r>
      <w:r/>
    </w:p>
    <w:p>
      <w:pPr>
        <w:ind w:firstLine="4500"/>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p>
      <w:pPr>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日期：</w:t>
      </w: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rPr>
        <w:t xml:space="preserve">年</w:t>
      </w: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rPr>
        <w:t xml:space="preserve">月</w:t>
      </w: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rPr>
        <w:t xml:space="preserve">日</w:t>
      </w:r>
      <w:r/>
    </w:p>
    <w:p>
      <w:pPr>
        <w:jc w:val="center"/>
        <w:spacing w:line="360" w:lineRule="auto"/>
        <w:rPr>
          <w:rFonts w:hint="eastAsia" w:ascii="宋体" w:hAnsi="宋体" w:cs="宋体"/>
          <w:b/>
          <w:bCs/>
          <w:color w:val="auto"/>
          <w:sz w:val="30"/>
          <w:szCs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b/>
          <w:bCs/>
          <w:color w:val="auto"/>
          <w:sz w:val="30"/>
          <w:szCs w:val="30"/>
          <w:highlight w:val="none"/>
        </w:rPr>
      </w:r>
      <w:r/>
    </w:p>
    <w:p>
      <w:pPr>
        <w:jc w:val="center"/>
        <w:spacing w:line="360" w:lineRule="auto"/>
        <w:rPr>
          <w:rFonts w:hint="eastAsia" w:ascii="宋体" w:hAnsi="宋体" w:cs="宋体"/>
          <w:b/>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highlight w:val="none"/>
        </w:rPr>
        <w:t xml:space="preserve">十、预付款保函支付条款模板</w:t>
      </w:r>
      <w:r/>
    </w:p>
    <w:p>
      <w:pPr>
        <w:ind w:firstLine="605"/>
        <w:spacing w:line="479" w:lineRule="atLeast"/>
        <w:rPr>
          <w:rFonts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r>
      <w:r/>
    </w:p>
    <w:p>
      <w:pPr>
        <w:ind w:firstLine="562"/>
        <w:keepLines w:val="0"/>
        <w:keepNext w:val="0"/>
        <w:pageBreakBefore w:val="0"/>
        <w:spacing w:line="360" w:lineRule="auto"/>
        <w:widowControl w:val="off"/>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符合条件一：提交预付款保函的</w:t>
      </w:r>
      <w:r/>
    </w:p>
    <w:p>
      <w:pPr>
        <w:ind w:firstLine="560"/>
        <w:keepLines w:val="0"/>
        <w:keepNext w:val="0"/>
        <w:pageBreakBefore w:val="0"/>
        <w:spacing w:line="360" w:lineRule="auto"/>
        <w:widowControl w:val="off"/>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（1）合同签订且乙方向甲方出具预付款保函后</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 xml:space="preserve">个工作日内，甲方应支付合同价款的百分之</w:t>
      </w:r>
      <w:r>
        <w:rPr>
          <w:rFonts w:hint="eastAsia" w:ascii="宋体" w:hAnsi="宋体" w:cs="宋体"/>
          <w:color w:val="auto"/>
          <w:sz w:val="28"/>
          <w:szCs w:val="28"/>
          <w:highlight w:val="none"/>
          <w:u w:val="single"/>
        </w:rPr>
        <w:t xml:space="preserve">  XX（  XX%），</w:t>
      </w:r>
      <w:r>
        <w:rPr>
          <w:rFonts w:hint="eastAsia" w:ascii="宋体" w:hAnsi="宋体" w:cs="宋体"/>
          <w:color w:val="auto"/>
          <w:sz w:val="28"/>
          <w:szCs w:val="28"/>
          <w:highlight w:val="none"/>
        </w:rPr>
        <w:t xml:space="preserve">小写￥</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大写：人民币</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 xml:space="preserve">。</w:t>
      </w:r>
      <w:r/>
    </w:p>
    <w:p>
      <w:pPr>
        <w:ind w:firstLine="560"/>
        <w:keepLines w:val="0"/>
        <w:keepNext w:val="0"/>
        <w:pageBreakBefore w:val="0"/>
        <w:spacing w:line="360" w:lineRule="auto"/>
        <w:widowControl w:val="off"/>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乙方需提交的支付文件：乙方出具的全额正式发票。</w:t>
      </w:r>
      <w:r/>
    </w:p>
    <w:p>
      <w:pPr>
        <w:ind w:firstLine="560"/>
        <w:keepLines w:val="0"/>
        <w:keepNext w:val="0"/>
        <w:pageBreakBefore w:val="0"/>
        <w:spacing w:line="360" w:lineRule="auto"/>
        <w:widowControl w:val="off"/>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（2）验收合格后</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 xml:space="preserve">个工作日内，甲方应支付合同价款的百分之</w:t>
      </w:r>
      <w:r>
        <w:rPr>
          <w:rFonts w:hint="eastAsia" w:ascii="宋体" w:hAnsi="宋体" w:cs="宋体"/>
          <w:color w:val="auto"/>
          <w:sz w:val="28"/>
          <w:szCs w:val="28"/>
          <w:highlight w:val="none"/>
          <w:u w:val="single"/>
        </w:rPr>
        <w:t xml:space="preserve">XX（  XX%），</w:t>
      </w:r>
      <w:r>
        <w:rPr>
          <w:rFonts w:hint="eastAsia" w:ascii="宋体" w:hAnsi="宋体" w:cs="宋体"/>
          <w:color w:val="auto"/>
          <w:sz w:val="28"/>
          <w:szCs w:val="28"/>
          <w:highlight w:val="none"/>
        </w:rPr>
        <w:t xml:space="preserve">小写￥</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大写：人民币</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w:t>
      </w:r>
      <w:r/>
    </w:p>
    <w:p>
      <w:pPr>
        <w:ind w:firstLine="562"/>
        <w:keepLines w:val="0"/>
        <w:keepNext w:val="0"/>
        <w:pageBreakBefore w:val="0"/>
        <w:spacing w:line="360" w:lineRule="auto"/>
        <w:widowControl w:val="off"/>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w:t>
      </w:r>
      <w:r/>
    </w:p>
    <w:p>
      <w:pPr>
        <w:ind w:firstLine="562"/>
        <w:keepLines w:val="0"/>
        <w:keepNext w:val="0"/>
        <w:pageBreakBefore w:val="0"/>
        <w:spacing w:line="360" w:lineRule="auto"/>
        <w:widowControl w:val="off"/>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符合条件二：不提交预付款保函的</w:t>
      </w:r>
      <w:r/>
    </w:p>
    <w:p>
      <w:pPr>
        <w:ind w:firstLine="560"/>
        <w:keepLines w:val="0"/>
        <w:keepNext w:val="0"/>
        <w:pageBreakBefore w:val="0"/>
        <w:spacing w:line="360" w:lineRule="auto"/>
        <w:widowControl w:val="off"/>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（1）合同签订后</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个工作日内，甲方应支付合同价款的百分之</w:t>
      </w:r>
      <w:r>
        <w:rPr>
          <w:rFonts w:hint="eastAsia" w:ascii="宋体" w:hAnsi="宋体" w:cs="宋体"/>
          <w:color w:val="auto"/>
          <w:sz w:val="28"/>
          <w:szCs w:val="28"/>
          <w:highlight w:val="none"/>
          <w:u w:val="single"/>
        </w:rPr>
        <w:t xml:space="preserve">XX（  XX%），</w:t>
      </w:r>
      <w:r>
        <w:rPr>
          <w:rFonts w:hint="eastAsia" w:ascii="宋体" w:hAnsi="宋体" w:cs="宋体"/>
          <w:color w:val="auto"/>
          <w:sz w:val="28"/>
          <w:szCs w:val="28"/>
          <w:highlight w:val="none"/>
        </w:rPr>
        <w:t xml:space="preserve">小写￥</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大写：人民币</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w:t>
      </w:r>
      <w:r/>
    </w:p>
    <w:p>
      <w:pPr>
        <w:ind w:firstLine="560"/>
        <w:keepLines w:val="0"/>
        <w:keepNext w:val="0"/>
        <w:pageBreakBefore w:val="0"/>
        <w:spacing w:line="360" w:lineRule="auto"/>
        <w:widowControl w:val="off"/>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乙方需提交的支付文件：乙方出具的全额正式发票。</w:t>
      </w:r>
      <w:r/>
    </w:p>
    <w:p>
      <w:pPr>
        <w:ind w:firstLine="560"/>
        <w:keepLines w:val="0"/>
        <w:keepNext w:val="0"/>
        <w:pageBreakBefore w:val="0"/>
        <w:spacing w:line="360" w:lineRule="auto"/>
        <w:widowControl w:val="off"/>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（2）验收合格后</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个工作日内，甲方应支付合同价款的百分之</w:t>
      </w:r>
      <w:r>
        <w:rPr>
          <w:rFonts w:hint="eastAsia" w:ascii="宋体" w:hAnsi="宋体" w:cs="宋体"/>
          <w:color w:val="auto"/>
          <w:sz w:val="28"/>
          <w:szCs w:val="28"/>
          <w:highlight w:val="none"/>
          <w:u w:val="single"/>
        </w:rPr>
        <w:t xml:space="preserve">XX（  XX%），</w:t>
      </w:r>
      <w:r>
        <w:rPr>
          <w:rFonts w:hint="eastAsia" w:ascii="宋体" w:hAnsi="宋体" w:cs="宋体"/>
          <w:color w:val="auto"/>
          <w:sz w:val="28"/>
          <w:szCs w:val="28"/>
          <w:highlight w:val="none"/>
        </w:rPr>
        <w:t xml:space="preserve">小写￥</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大写：人民币</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w:t>
      </w:r>
      <w:r/>
    </w:p>
    <w:p>
      <w:pPr>
        <w:ind w:firstLine="562"/>
        <w:keepLines w:val="0"/>
        <w:keepNext w:val="0"/>
        <w:pageBreakBefore w:val="0"/>
        <w:spacing w:line="360" w:lineRule="auto"/>
        <w:widowControl w:val="off"/>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w:t>
      </w:r>
      <w:r/>
    </w:p>
    <w:p>
      <w:pPr>
        <w:ind w:firstLine="562"/>
        <w:keepLines w:val="0"/>
        <w:keepNext w:val="0"/>
        <w:pageBreakBefore w:val="0"/>
        <w:spacing w:line="360" w:lineRule="auto"/>
        <w:widowControl w:val="off"/>
        <w:rPr>
          <w:rFonts w:ascii="宋体" w:hAnsi="宋体" w:cs="宋体"/>
          <w:b/>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8"/>
          <w:szCs w:val="28"/>
          <w:highlight w:val="none"/>
        </w:rPr>
      </w:r>
      <w:r/>
    </w:p>
    <w:p>
      <w:pPr>
        <w:ind w:firstLine="562"/>
        <w:keepLines w:val="0"/>
        <w:keepNext w:val="0"/>
        <w:pageBreakBefore w:val="0"/>
        <w:spacing w:line="360" w:lineRule="auto"/>
        <w:widowControl w:val="off"/>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注</w:t>
      </w:r>
      <w:r>
        <w:rPr>
          <w:rFonts w:hint="eastAsia" w:ascii="宋体" w:hAnsi="宋体" w:cs="宋体"/>
          <w:b/>
          <w:color w:val="auto"/>
          <w:sz w:val="28"/>
          <w:szCs w:val="28"/>
          <w:highlight w:val="none"/>
          <w:lang w:eastAsia="zh-CN"/>
        </w:rPr>
        <w:t xml:space="preserve">：</w:t>
      </w:r>
      <w:r/>
    </w:p>
    <w:p>
      <w:pPr>
        <w:ind w:firstLine="560"/>
        <w:keepLines w:val="0"/>
        <w:keepNext w:val="0"/>
        <w:pageBreakBefore w:val="0"/>
        <w:spacing w:line="360" w:lineRule="auto"/>
        <w:widowControl w:val="off"/>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1、付款条件一中，出具预付款保函后支付的合同款应当与保函金额一致。</w:t>
      </w:r>
      <w:r/>
    </w:p>
    <w:p>
      <w:pPr>
        <w:ind w:firstLine="560"/>
        <w:keepLines w:val="0"/>
        <w:keepNext w:val="0"/>
        <w:pageBreakBefore w:val="0"/>
        <w:spacing w:line="360" w:lineRule="auto"/>
        <w:widowControl w:val="off"/>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2、付款条件二中，预付款比例设定应符合《关于做好政府采购支持企业发展有关事项的通知》(苏财购〔2020〕52号)要求。</w:t>
      </w:r>
      <w:r/>
    </w:p>
    <w:p>
      <w:pPr>
        <w:rPr>
          <w:color w:val="auto"/>
          <w:sz w:val="18"/>
          <w:highlight w:val="none"/>
        </w:rPr>
      </w:pPr>
      <w:r>
        <w:rPr>
          <w:color w:val="auto"/>
          <w:sz w:val="18"/>
          <w:highlight w:val="none"/>
        </w:rPr>
      </w:r>
      <w:r/>
    </w:p>
    <w:sectPr>
      <w:footnotePr/>
      <w:endnotePr/>
      <w:type w:val="nextPage"/>
      <w:pgSz w:w="11906" w:h="16838" w:orient="portrait"/>
      <w:pgMar w:top="1440" w:right="1803"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仿宋">
    <w:panose1 w:val="02010609060101010101"/>
  </w:font>
  <w:font w:name="Courier New">
    <w:panose1 w:val="02070309020205020404"/>
  </w:font>
  <w:font w:name="Calibri">
    <w:panose1 w:val="020F0502020204030204"/>
  </w:font>
  <w:font w:name="黑体">
    <w:panose1 w:val="02010609060101010101"/>
  </w:font>
  <w:font w:name="仿宋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4"/>
                          </w:pPr>
                          <w:r>
                            <w:rPr>
                              <w:rFonts w:hint="eastAsia"/>
                            </w:rPr>
                            <w:fldChar w:fldCharType="begin"/>
                          </w:r>
                          <w:r>
                            <w:rPr>
                              <w:rFonts w:hint="eastAsia"/>
                            </w:rPr>
                            <w:instrText xml:space="preserve"> PAGE  \* MERGEFORMAT </w:instrText>
                          </w:r>
                          <w:r>
                            <w:rPr>
                              <w:rFonts w:hint="eastAsia"/>
                            </w:rPr>
                            <w:fldChar w:fldCharType="separate"/>
                          </w:r>
                          <w:r>
                            <w:t xml:space="preserve">23</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4"/>
                    </w:pPr>
                    <w:r>
                      <w:rPr>
                        <w:rFonts w:hint="eastAsia"/>
                      </w:rPr>
                      <w:fldChar w:fldCharType="begin"/>
                    </w:r>
                    <w:r>
                      <w:rPr>
                        <w:rFonts w:hint="eastAsia"/>
                      </w:rPr>
                      <w:instrText xml:space="preserve"> PAGE  \* MERGEFORMAT </w:instrText>
                    </w:r>
                    <w:r>
                      <w:rPr>
                        <w:rFonts w:hint="eastAsia"/>
                      </w:rPr>
                      <w:fldChar w:fldCharType="separate"/>
                    </w:r>
                    <w:r>
                      <w:t xml:space="preserve">23</w:t>
                    </w:r>
                    <w:r>
                      <w:rPr>
                        <w:rFonts w:hint="eastAsi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4"/>
                          </w:pPr>
                          <w:r>
                            <w:rPr>
                              <w:rFonts w:hint="eastAsia"/>
                            </w:rPr>
                            <w:fldChar w:fldCharType="begin"/>
                          </w:r>
                          <w:r>
                            <w:rPr>
                              <w:rFonts w:hint="eastAsia"/>
                            </w:rPr>
                            <w:instrText xml:space="preserve"> PAGE  \* MERGEFORMAT </w:instrText>
                          </w:r>
                          <w:r>
                            <w:rPr>
                              <w:rFonts w:hint="eastAsia"/>
                            </w:rPr>
                            <w:fldChar w:fldCharType="separate"/>
                          </w:r>
                          <w:r>
                            <w:t xml:space="preserve">34</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4"/>
                    </w:pPr>
                    <w:r>
                      <w:rPr>
                        <w:rFonts w:hint="eastAsia"/>
                      </w:rPr>
                      <w:fldChar w:fldCharType="begin"/>
                    </w:r>
                    <w:r>
                      <w:rPr>
                        <w:rFonts w:hint="eastAsia"/>
                      </w:rPr>
                      <w:instrText xml:space="preserve"> PAGE  \* MERGEFORMAT </w:instrText>
                    </w:r>
                    <w:r>
                      <w:rPr>
                        <w:rFonts w:hint="eastAsia"/>
                      </w:rPr>
                      <w:fldChar w:fldCharType="separate"/>
                    </w:r>
                    <w:r>
                      <w:t xml:space="preserve">34</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jc w:val="right"/>
      <w:rPr>
        <w:sz w:val="18"/>
        <w:szCs w:val="18"/>
      </w:rPr>
      <w:pBdr>
        <w:bottom w:val="single" w:color="auto" w:sz="4" w:space="0"/>
      </w:pBdr>
    </w:pPr>
    <w:r>
      <w:rPr>
        <w:rFonts w:hint="eastAsia" w:ascii="Segoe UI" w:hAnsi="Segoe UI" w:cs="Segoe UI"/>
        <w:i w:val="0"/>
        <w:iCs w:val="0"/>
        <w:caps w:val="0"/>
        <w:spacing w:val="0"/>
        <w:sz w:val="18"/>
        <w:szCs w:val="18"/>
        <w:shd w:val="clear" w:color="auto" w:fill="ffffff"/>
        <w:lang w:eastAsia="zh-CN"/>
      </w:rPr>
      <w:t xml:space="preserve">徐州市第一人民医院食堂原材料采购</w:t>
    </w:r>
    <w:r>
      <w:rPr>
        <w:rFonts w:hint="eastAsia"/>
        <w:sz w:val="18"/>
        <w:szCs w:val="18"/>
      </w:rPr>
      <w:t xml:space="preserve">项目招标文件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18"/>
        <w:szCs w:val="18"/>
      </w:rPr>
      <w:pBdr>
        <w:bottom w:val="single" w:color="auto" w:sz="4" w:space="0"/>
      </w:pBdr>
    </w:pPr>
    <w:r>
      <w:rPr>
        <w:rFonts w:hint="eastAsia" w:ascii="Segoe UI" w:hAnsi="Segoe UI" w:cs="Segoe UI"/>
        <w:i w:val="0"/>
        <w:iCs w:val="0"/>
        <w:caps w:val="0"/>
        <w:spacing w:val="0"/>
        <w:sz w:val="18"/>
        <w:szCs w:val="18"/>
        <w:shd w:val="clear" w:color="auto" w:fill="ffffff"/>
        <w:lang w:eastAsia="zh-CN"/>
      </w:rPr>
      <w:t xml:space="preserve">徐州市第一人民医院食堂原材料采购</w:t>
    </w:r>
    <w:r>
      <w:rPr>
        <w:rFonts w:hint="eastAsia"/>
        <w:sz w:val="18"/>
        <w:szCs w:val="18"/>
      </w:rPr>
      <w:t xml:space="preserve">项目招标文件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0">
    <w:name w:val="Heading 1"/>
    <w:basedOn w:val="902"/>
    <w:next w:val="902"/>
    <w:link w:val="731"/>
    <w:uiPriority w:val="9"/>
    <w:qFormat/>
    <w:pPr>
      <w:keepLines/>
      <w:keepNext/>
      <w:spacing w:before="480" w:after="200"/>
      <w:outlineLvl w:val="0"/>
    </w:pPr>
    <w:rPr>
      <w:rFonts w:ascii="Arial" w:hAnsi="Arial" w:eastAsia="Arial" w:cs="Arial"/>
      <w:sz w:val="40"/>
      <w:szCs w:val="40"/>
    </w:rPr>
  </w:style>
  <w:style w:type="character" w:styleId="731">
    <w:name w:val="Heading 1 Char"/>
    <w:basedOn w:val="905"/>
    <w:link w:val="730"/>
    <w:uiPriority w:val="9"/>
    <w:rPr>
      <w:rFonts w:ascii="Arial" w:hAnsi="Arial" w:eastAsia="Arial" w:cs="Arial"/>
      <w:sz w:val="40"/>
      <w:szCs w:val="40"/>
    </w:rPr>
  </w:style>
  <w:style w:type="character" w:styleId="732">
    <w:name w:val="Heading 2 Char"/>
    <w:basedOn w:val="905"/>
    <w:link w:val="903"/>
    <w:uiPriority w:val="9"/>
    <w:rPr>
      <w:rFonts w:ascii="Arial" w:hAnsi="Arial" w:eastAsia="Arial" w:cs="Arial"/>
      <w:sz w:val="34"/>
    </w:rPr>
  </w:style>
  <w:style w:type="character" w:styleId="733">
    <w:name w:val="Heading 3 Char"/>
    <w:basedOn w:val="905"/>
    <w:link w:val="904"/>
    <w:uiPriority w:val="9"/>
    <w:rPr>
      <w:rFonts w:ascii="Arial" w:hAnsi="Arial" w:eastAsia="Arial" w:cs="Arial"/>
      <w:sz w:val="30"/>
      <w:szCs w:val="30"/>
    </w:rPr>
  </w:style>
  <w:style w:type="paragraph" w:styleId="734">
    <w:name w:val="Heading 4"/>
    <w:basedOn w:val="902"/>
    <w:next w:val="902"/>
    <w:link w:val="735"/>
    <w:uiPriority w:val="9"/>
    <w:unhideWhenUsed/>
    <w:qFormat/>
    <w:pPr>
      <w:keepLines/>
      <w:keepNext/>
      <w:spacing w:before="320" w:after="200"/>
      <w:outlineLvl w:val="3"/>
    </w:pPr>
    <w:rPr>
      <w:rFonts w:ascii="Arial" w:hAnsi="Arial" w:eastAsia="Arial" w:cs="Arial"/>
      <w:b/>
      <w:bCs/>
      <w:sz w:val="26"/>
      <w:szCs w:val="26"/>
    </w:rPr>
  </w:style>
  <w:style w:type="character" w:styleId="735">
    <w:name w:val="Heading 4 Char"/>
    <w:basedOn w:val="905"/>
    <w:link w:val="734"/>
    <w:uiPriority w:val="9"/>
    <w:rPr>
      <w:rFonts w:ascii="Arial" w:hAnsi="Arial" w:eastAsia="Arial" w:cs="Arial"/>
      <w:b/>
      <w:bCs/>
      <w:sz w:val="26"/>
      <w:szCs w:val="26"/>
    </w:rPr>
  </w:style>
  <w:style w:type="paragraph" w:styleId="736">
    <w:name w:val="Heading 5"/>
    <w:basedOn w:val="902"/>
    <w:next w:val="902"/>
    <w:link w:val="737"/>
    <w:uiPriority w:val="9"/>
    <w:unhideWhenUsed/>
    <w:qFormat/>
    <w:pPr>
      <w:keepLines/>
      <w:keepNext/>
      <w:spacing w:before="320" w:after="200"/>
      <w:outlineLvl w:val="4"/>
    </w:pPr>
    <w:rPr>
      <w:rFonts w:ascii="Arial" w:hAnsi="Arial" w:eastAsia="Arial" w:cs="Arial"/>
      <w:b/>
      <w:bCs/>
      <w:sz w:val="24"/>
      <w:szCs w:val="24"/>
    </w:rPr>
  </w:style>
  <w:style w:type="character" w:styleId="737">
    <w:name w:val="Heading 5 Char"/>
    <w:basedOn w:val="905"/>
    <w:link w:val="736"/>
    <w:uiPriority w:val="9"/>
    <w:rPr>
      <w:rFonts w:ascii="Arial" w:hAnsi="Arial" w:eastAsia="Arial" w:cs="Arial"/>
      <w:b/>
      <w:bCs/>
      <w:sz w:val="24"/>
      <w:szCs w:val="24"/>
    </w:rPr>
  </w:style>
  <w:style w:type="paragraph" w:styleId="738">
    <w:name w:val="Heading 6"/>
    <w:basedOn w:val="902"/>
    <w:next w:val="902"/>
    <w:link w:val="739"/>
    <w:uiPriority w:val="9"/>
    <w:unhideWhenUsed/>
    <w:qFormat/>
    <w:pPr>
      <w:keepLines/>
      <w:keepNext/>
      <w:spacing w:before="320" w:after="200"/>
      <w:outlineLvl w:val="5"/>
    </w:pPr>
    <w:rPr>
      <w:rFonts w:ascii="Arial" w:hAnsi="Arial" w:eastAsia="Arial" w:cs="Arial"/>
      <w:b/>
      <w:bCs/>
      <w:sz w:val="22"/>
      <w:szCs w:val="22"/>
    </w:rPr>
  </w:style>
  <w:style w:type="character" w:styleId="739">
    <w:name w:val="Heading 6 Char"/>
    <w:basedOn w:val="905"/>
    <w:link w:val="738"/>
    <w:uiPriority w:val="9"/>
    <w:rPr>
      <w:rFonts w:ascii="Arial" w:hAnsi="Arial" w:eastAsia="Arial" w:cs="Arial"/>
      <w:b/>
      <w:bCs/>
      <w:sz w:val="22"/>
      <w:szCs w:val="22"/>
    </w:rPr>
  </w:style>
  <w:style w:type="paragraph" w:styleId="740">
    <w:name w:val="Heading 7"/>
    <w:basedOn w:val="902"/>
    <w:next w:val="902"/>
    <w:link w:val="741"/>
    <w:uiPriority w:val="9"/>
    <w:unhideWhenUsed/>
    <w:qFormat/>
    <w:pPr>
      <w:keepLines/>
      <w:keepNext/>
      <w:spacing w:before="320" w:after="200"/>
      <w:outlineLvl w:val="6"/>
    </w:pPr>
    <w:rPr>
      <w:rFonts w:ascii="Arial" w:hAnsi="Arial" w:eastAsia="Arial" w:cs="Arial"/>
      <w:b/>
      <w:bCs/>
      <w:i/>
      <w:iCs/>
      <w:sz w:val="22"/>
      <w:szCs w:val="22"/>
    </w:rPr>
  </w:style>
  <w:style w:type="character" w:styleId="741">
    <w:name w:val="Heading 7 Char"/>
    <w:basedOn w:val="905"/>
    <w:link w:val="740"/>
    <w:uiPriority w:val="9"/>
    <w:rPr>
      <w:rFonts w:ascii="Arial" w:hAnsi="Arial" w:eastAsia="Arial" w:cs="Arial"/>
      <w:b/>
      <w:bCs/>
      <w:i/>
      <w:iCs/>
      <w:sz w:val="22"/>
      <w:szCs w:val="22"/>
    </w:rPr>
  </w:style>
  <w:style w:type="paragraph" w:styleId="742">
    <w:name w:val="Heading 8"/>
    <w:basedOn w:val="902"/>
    <w:next w:val="902"/>
    <w:link w:val="743"/>
    <w:uiPriority w:val="9"/>
    <w:unhideWhenUsed/>
    <w:qFormat/>
    <w:pPr>
      <w:keepLines/>
      <w:keepNext/>
      <w:spacing w:before="320" w:after="200"/>
      <w:outlineLvl w:val="7"/>
    </w:pPr>
    <w:rPr>
      <w:rFonts w:ascii="Arial" w:hAnsi="Arial" w:eastAsia="Arial" w:cs="Arial"/>
      <w:i/>
      <w:iCs/>
      <w:sz w:val="22"/>
      <w:szCs w:val="22"/>
    </w:rPr>
  </w:style>
  <w:style w:type="character" w:styleId="743">
    <w:name w:val="Heading 8 Char"/>
    <w:basedOn w:val="905"/>
    <w:link w:val="742"/>
    <w:uiPriority w:val="9"/>
    <w:rPr>
      <w:rFonts w:ascii="Arial" w:hAnsi="Arial" w:eastAsia="Arial" w:cs="Arial"/>
      <w:i/>
      <w:iCs/>
      <w:sz w:val="22"/>
      <w:szCs w:val="22"/>
    </w:rPr>
  </w:style>
  <w:style w:type="paragraph" w:styleId="744">
    <w:name w:val="Heading 9"/>
    <w:basedOn w:val="902"/>
    <w:next w:val="902"/>
    <w:link w:val="745"/>
    <w:uiPriority w:val="9"/>
    <w:unhideWhenUsed/>
    <w:qFormat/>
    <w:pPr>
      <w:keepLines/>
      <w:keepNext/>
      <w:spacing w:before="320" w:after="200"/>
      <w:outlineLvl w:val="8"/>
    </w:pPr>
    <w:rPr>
      <w:rFonts w:ascii="Arial" w:hAnsi="Arial" w:eastAsia="Arial" w:cs="Arial"/>
      <w:i/>
      <w:iCs/>
      <w:sz w:val="21"/>
      <w:szCs w:val="21"/>
    </w:rPr>
  </w:style>
  <w:style w:type="character" w:styleId="745">
    <w:name w:val="Heading 9 Char"/>
    <w:basedOn w:val="905"/>
    <w:link w:val="744"/>
    <w:uiPriority w:val="9"/>
    <w:rPr>
      <w:rFonts w:ascii="Arial" w:hAnsi="Arial" w:eastAsia="Arial" w:cs="Arial"/>
      <w:i/>
      <w:iCs/>
      <w:sz w:val="21"/>
      <w:szCs w:val="21"/>
    </w:rPr>
  </w:style>
  <w:style w:type="paragraph" w:styleId="746">
    <w:name w:val="No Spacing"/>
    <w:uiPriority w:val="1"/>
    <w:qFormat/>
    <w:pPr>
      <w:spacing w:before="0" w:after="0" w:line="240" w:lineRule="auto"/>
    </w:pPr>
  </w:style>
  <w:style w:type="paragraph" w:styleId="747">
    <w:name w:val="Title"/>
    <w:basedOn w:val="902"/>
    <w:next w:val="902"/>
    <w:link w:val="748"/>
    <w:uiPriority w:val="10"/>
    <w:qFormat/>
    <w:pPr>
      <w:contextualSpacing/>
      <w:spacing w:before="300" w:after="200"/>
    </w:pPr>
    <w:rPr>
      <w:sz w:val="48"/>
      <w:szCs w:val="48"/>
    </w:rPr>
  </w:style>
  <w:style w:type="character" w:styleId="748">
    <w:name w:val="Title Char"/>
    <w:basedOn w:val="905"/>
    <w:link w:val="747"/>
    <w:uiPriority w:val="10"/>
    <w:rPr>
      <w:sz w:val="48"/>
      <w:szCs w:val="48"/>
    </w:rPr>
  </w:style>
  <w:style w:type="paragraph" w:styleId="749">
    <w:name w:val="Subtitle"/>
    <w:basedOn w:val="902"/>
    <w:next w:val="902"/>
    <w:link w:val="750"/>
    <w:uiPriority w:val="11"/>
    <w:qFormat/>
    <w:pPr>
      <w:spacing w:before="200" w:after="200"/>
    </w:pPr>
    <w:rPr>
      <w:sz w:val="24"/>
      <w:szCs w:val="24"/>
    </w:rPr>
  </w:style>
  <w:style w:type="character" w:styleId="750">
    <w:name w:val="Subtitle Char"/>
    <w:basedOn w:val="905"/>
    <w:link w:val="749"/>
    <w:uiPriority w:val="11"/>
    <w:rPr>
      <w:sz w:val="24"/>
      <w:szCs w:val="24"/>
    </w:rPr>
  </w:style>
  <w:style w:type="paragraph" w:styleId="751">
    <w:name w:val="Quote"/>
    <w:basedOn w:val="902"/>
    <w:next w:val="902"/>
    <w:link w:val="752"/>
    <w:uiPriority w:val="29"/>
    <w:qFormat/>
    <w:pPr>
      <w:ind w:left="720" w:right="720"/>
    </w:pPr>
    <w:rPr>
      <w:i/>
    </w:rPr>
  </w:style>
  <w:style w:type="character" w:styleId="752">
    <w:name w:val="Quote Char"/>
    <w:link w:val="751"/>
    <w:uiPriority w:val="29"/>
    <w:rPr>
      <w:i/>
    </w:rPr>
  </w:style>
  <w:style w:type="paragraph" w:styleId="753">
    <w:name w:val="Intense Quote"/>
    <w:basedOn w:val="902"/>
    <w:next w:val="902"/>
    <w:link w:val="75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4">
    <w:name w:val="Intense Quote Char"/>
    <w:link w:val="753"/>
    <w:uiPriority w:val="30"/>
    <w:rPr>
      <w:i/>
    </w:rPr>
  </w:style>
  <w:style w:type="paragraph" w:styleId="755">
    <w:name w:val="Header"/>
    <w:basedOn w:val="902"/>
    <w:link w:val="756"/>
    <w:uiPriority w:val="99"/>
    <w:unhideWhenUsed/>
    <w:pPr>
      <w:spacing w:after="0" w:line="240" w:lineRule="auto"/>
      <w:tabs>
        <w:tab w:val="center" w:pos="7143" w:leader="none"/>
        <w:tab w:val="right" w:pos="14287" w:leader="none"/>
      </w:tabs>
    </w:pPr>
  </w:style>
  <w:style w:type="character" w:styleId="756">
    <w:name w:val="Header Char"/>
    <w:basedOn w:val="905"/>
    <w:link w:val="755"/>
    <w:uiPriority w:val="99"/>
  </w:style>
  <w:style w:type="character" w:styleId="757">
    <w:name w:val="Footer Char"/>
    <w:basedOn w:val="905"/>
    <w:link w:val="914"/>
    <w:uiPriority w:val="99"/>
  </w:style>
  <w:style w:type="paragraph" w:styleId="758">
    <w:name w:val="Caption"/>
    <w:basedOn w:val="902"/>
    <w:next w:val="902"/>
    <w:uiPriority w:val="35"/>
    <w:semiHidden/>
    <w:unhideWhenUsed/>
    <w:qFormat/>
    <w:pPr>
      <w:spacing w:line="276" w:lineRule="auto"/>
    </w:pPr>
    <w:rPr>
      <w:b/>
      <w:bCs/>
      <w:color w:val="4f81bd" w:themeColor="accent1"/>
      <w:sz w:val="18"/>
      <w:szCs w:val="18"/>
    </w:rPr>
  </w:style>
  <w:style w:type="character" w:styleId="759">
    <w:name w:val="Caption Char"/>
    <w:basedOn w:val="758"/>
    <w:link w:val="914"/>
    <w:uiPriority w:val="99"/>
  </w:style>
  <w:style w:type="table" w:styleId="760">
    <w:name w:val="Table Grid Light"/>
    <w:basedOn w:val="90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1">
    <w:name w:val="Plain Table 1"/>
    <w:basedOn w:val="90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2">
    <w:name w:val="Plain Table 2"/>
    <w:basedOn w:val="90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3">
    <w:name w:val="Plain Table 3"/>
    <w:basedOn w:val="9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4">
    <w:name w:val="Plain Table 4"/>
    <w:basedOn w:val="9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5">
    <w:name w:val="Plain Table 5"/>
    <w:basedOn w:val="9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6">
    <w:name w:val="Grid Table 1 Light"/>
    <w:basedOn w:val="90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7">
    <w:name w:val="Grid Table 1 Light - Accent 1"/>
    <w:basedOn w:val="90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8">
    <w:name w:val="Grid Table 1 Light - Accent 2"/>
    <w:basedOn w:val="90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9">
    <w:name w:val="Grid Table 1 Light - Accent 3"/>
    <w:basedOn w:val="90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0">
    <w:name w:val="Grid Table 1 Light - Accent 4"/>
    <w:basedOn w:val="90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1">
    <w:name w:val="Grid Table 1 Light - Accent 5"/>
    <w:basedOn w:val="90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2">
    <w:name w:val="Grid Table 1 Light - Accent 6"/>
    <w:basedOn w:val="90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3">
    <w:name w:val="Grid Table 2"/>
    <w:basedOn w:val="90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4">
    <w:name w:val="Grid Table 2 - Accent 1"/>
    <w:basedOn w:val="90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5">
    <w:name w:val="Grid Table 2 - Accent 2"/>
    <w:basedOn w:val="90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6">
    <w:name w:val="Grid Table 2 - Accent 3"/>
    <w:basedOn w:val="90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7">
    <w:name w:val="Grid Table 2 - Accent 4"/>
    <w:basedOn w:val="90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8">
    <w:name w:val="Grid Table 2 - Accent 5"/>
    <w:basedOn w:val="90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9">
    <w:name w:val="Grid Table 2 - Accent 6"/>
    <w:basedOn w:val="90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0">
    <w:name w:val="Grid Table 3"/>
    <w:basedOn w:val="90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1"/>
    <w:basedOn w:val="90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2"/>
    <w:basedOn w:val="90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3"/>
    <w:basedOn w:val="90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4"/>
    <w:basedOn w:val="90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5"/>
    <w:basedOn w:val="90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6"/>
    <w:basedOn w:val="90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4"/>
    <w:basedOn w:val="90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8">
    <w:name w:val="Grid Table 4 - Accent 1"/>
    <w:basedOn w:val="90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9">
    <w:name w:val="Grid Table 4 - Accent 2"/>
    <w:basedOn w:val="90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0">
    <w:name w:val="Grid Table 4 - Accent 3"/>
    <w:basedOn w:val="90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1">
    <w:name w:val="Grid Table 4 - Accent 4"/>
    <w:basedOn w:val="90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2">
    <w:name w:val="Grid Table 4 - Accent 5"/>
    <w:basedOn w:val="90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3">
    <w:name w:val="Grid Table 4 - Accent 6"/>
    <w:basedOn w:val="90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4">
    <w:name w:val="Grid Table 5 Dark"/>
    <w:basedOn w:val="9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5">
    <w:name w:val="Grid Table 5 Dark- Accent 1"/>
    <w:basedOn w:val="9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96">
    <w:name w:val="Grid Table 5 Dark - Accent 2"/>
    <w:basedOn w:val="9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97">
    <w:name w:val="Grid Table 5 Dark - Accent 3"/>
    <w:basedOn w:val="9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98">
    <w:name w:val="Grid Table 5 Dark- Accent 4"/>
    <w:basedOn w:val="9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99">
    <w:name w:val="Grid Table 5 Dark - Accent 5"/>
    <w:basedOn w:val="9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00">
    <w:name w:val="Grid Table 5 Dark - Accent 6"/>
    <w:basedOn w:val="9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01">
    <w:name w:val="Grid Table 6 Colorful"/>
    <w:basedOn w:val="90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2">
    <w:name w:val="Grid Table 6 Colorful - Accent 1"/>
    <w:basedOn w:val="90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03">
    <w:name w:val="Grid Table 6 Colorful - Accent 2"/>
    <w:basedOn w:val="90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04">
    <w:name w:val="Grid Table 6 Colorful - Accent 3"/>
    <w:basedOn w:val="90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05">
    <w:name w:val="Grid Table 6 Colorful - Accent 4"/>
    <w:basedOn w:val="90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06">
    <w:name w:val="Grid Table 6 Colorful - Accent 5"/>
    <w:basedOn w:val="90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07">
    <w:name w:val="Grid Table 6 Colorful - Accent 6"/>
    <w:basedOn w:val="90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08">
    <w:name w:val="Grid Table 7 Colorful"/>
    <w:basedOn w:val="90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9">
    <w:name w:val="Grid Table 7 Colorful - Accent 1"/>
    <w:basedOn w:val="90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0">
    <w:name w:val="Grid Table 7 Colorful - Accent 2"/>
    <w:basedOn w:val="90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1">
    <w:name w:val="Grid Table 7 Colorful - Accent 3"/>
    <w:basedOn w:val="90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2">
    <w:name w:val="Grid Table 7 Colorful - Accent 4"/>
    <w:basedOn w:val="90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3">
    <w:name w:val="Grid Table 7 Colorful - Accent 5"/>
    <w:basedOn w:val="90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4">
    <w:name w:val="Grid Table 7 Colorful - Accent 6"/>
    <w:basedOn w:val="90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5">
    <w:name w:val="List Table 1 Light"/>
    <w:basedOn w:val="90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6">
    <w:name w:val="List Table 1 Light - Accent 1"/>
    <w:basedOn w:val="906"/>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7">
    <w:name w:val="List Table 1 Light - Accent 2"/>
    <w:basedOn w:val="906"/>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8">
    <w:name w:val="List Table 1 Light - Accent 3"/>
    <w:basedOn w:val="906"/>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9">
    <w:name w:val="List Table 1 Light - Accent 4"/>
    <w:basedOn w:val="906"/>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0">
    <w:name w:val="List Table 1 Light - Accent 5"/>
    <w:basedOn w:val="906"/>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1">
    <w:name w:val="List Table 1 Light - Accent 6"/>
    <w:basedOn w:val="906"/>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2">
    <w:name w:val="List Table 2"/>
    <w:basedOn w:val="90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3">
    <w:name w:val="List Table 2 - Accent 1"/>
    <w:basedOn w:val="90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4">
    <w:name w:val="List Table 2 - Accent 2"/>
    <w:basedOn w:val="90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5">
    <w:name w:val="List Table 2 - Accent 3"/>
    <w:basedOn w:val="90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6">
    <w:name w:val="List Table 2 - Accent 4"/>
    <w:basedOn w:val="90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7">
    <w:name w:val="List Table 2 - Accent 5"/>
    <w:basedOn w:val="90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8">
    <w:name w:val="List Table 2 - Accent 6"/>
    <w:basedOn w:val="90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9">
    <w:name w:val="List Table 3"/>
    <w:basedOn w:val="90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0">
    <w:name w:val="List Table 3 - Accent 1"/>
    <w:basedOn w:val="90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31">
    <w:name w:val="List Table 3 - Accent 2"/>
    <w:basedOn w:val="90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32">
    <w:name w:val="List Table 3 - Accent 3"/>
    <w:basedOn w:val="90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33">
    <w:name w:val="List Table 3 - Accent 4"/>
    <w:basedOn w:val="90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34">
    <w:name w:val="List Table 3 - Accent 5"/>
    <w:basedOn w:val="90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35">
    <w:name w:val="List Table 3 - Accent 6"/>
    <w:basedOn w:val="90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36">
    <w:name w:val="List Table 4"/>
    <w:basedOn w:val="90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7">
    <w:name w:val="List Table 4 - Accent 1"/>
    <w:basedOn w:val="90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38">
    <w:name w:val="List Table 4 - Accent 2"/>
    <w:basedOn w:val="90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39">
    <w:name w:val="List Table 4 - Accent 3"/>
    <w:basedOn w:val="90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40">
    <w:name w:val="List Table 4 - Accent 4"/>
    <w:basedOn w:val="90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41">
    <w:name w:val="List Table 4 - Accent 5"/>
    <w:basedOn w:val="90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42">
    <w:name w:val="List Table 4 - Accent 6"/>
    <w:basedOn w:val="90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43">
    <w:name w:val="List Table 5 Dark"/>
    <w:basedOn w:val="90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1"/>
    <w:basedOn w:val="90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2"/>
    <w:basedOn w:val="90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3"/>
    <w:basedOn w:val="90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4"/>
    <w:basedOn w:val="90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5"/>
    <w:basedOn w:val="90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6"/>
    <w:basedOn w:val="90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6 Colorful"/>
    <w:basedOn w:val="90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1">
    <w:name w:val="List Table 6 Colorful - Accent 1"/>
    <w:basedOn w:val="90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52">
    <w:name w:val="List Table 6 Colorful - Accent 2"/>
    <w:basedOn w:val="90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53">
    <w:name w:val="List Table 6 Colorful - Accent 3"/>
    <w:basedOn w:val="90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54">
    <w:name w:val="List Table 6 Colorful - Accent 4"/>
    <w:basedOn w:val="90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55">
    <w:name w:val="List Table 6 Colorful - Accent 5"/>
    <w:basedOn w:val="90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56">
    <w:name w:val="List Table 6 Colorful - Accent 6"/>
    <w:basedOn w:val="90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57">
    <w:name w:val="List Table 7 Colorful"/>
    <w:basedOn w:val="90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8">
    <w:name w:val="List Table 7 Colorful - Accent 1"/>
    <w:basedOn w:val="90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59">
    <w:name w:val="List Table 7 Colorful - Accent 2"/>
    <w:basedOn w:val="90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60">
    <w:name w:val="List Table 7 Colorful - Accent 3"/>
    <w:basedOn w:val="90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61">
    <w:name w:val="List Table 7 Colorful - Accent 4"/>
    <w:basedOn w:val="90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62">
    <w:name w:val="List Table 7 Colorful - Accent 5"/>
    <w:basedOn w:val="90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63">
    <w:name w:val="List Table 7 Colorful - Accent 6"/>
    <w:basedOn w:val="90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64">
    <w:name w:val="Lined - Accent"/>
    <w:basedOn w:val="9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5">
    <w:name w:val="Lined - Accent 1"/>
    <w:basedOn w:val="9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66">
    <w:name w:val="Lined - Accent 2"/>
    <w:basedOn w:val="9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67">
    <w:name w:val="Lined - Accent 3"/>
    <w:basedOn w:val="9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68">
    <w:name w:val="Lined - Accent 4"/>
    <w:basedOn w:val="9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69">
    <w:name w:val="Lined - Accent 5"/>
    <w:basedOn w:val="9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70">
    <w:name w:val="Lined - Accent 6"/>
    <w:basedOn w:val="9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71">
    <w:name w:val="Bordered &amp; Lined - Accent"/>
    <w:basedOn w:val="90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2">
    <w:name w:val="Bordered &amp; Lined - Accent 1"/>
    <w:basedOn w:val="90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73">
    <w:name w:val="Bordered &amp; Lined - Accent 2"/>
    <w:basedOn w:val="90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74">
    <w:name w:val="Bordered &amp; Lined - Accent 3"/>
    <w:basedOn w:val="90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75">
    <w:name w:val="Bordered &amp; Lined - Accent 4"/>
    <w:basedOn w:val="90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76">
    <w:name w:val="Bordered &amp; Lined - Accent 5"/>
    <w:basedOn w:val="90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77">
    <w:name w:val="Bordered &amp; Lined - Accent 6"/>
    <w:basedOn w:val="90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78">
    <w:name w:val="Bordered"/>
    <w:basedOn w:val="90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9">
    <w:name w:val="Bordered - Accent 1"/>
    <w:basedOn w:val="90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0">
    <w:name w:val="Bordered - Accent 2"/>
    <w:basedOn w:val="90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1">
    <w:name w:val="Bordered - Accent 3"/>
    <w:basedOn w:val="90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2">
    <w:name w:val="Bordered - Accent 4"/>
    <w:basedOn w:val="90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3">
    <w:name w:val="Bordered - Accent 5"/>
    <w:basedOn w:val="90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4">
    <w:name w:val="Bordered - Accent 6"/>
    <w:basedOn w:val="90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5">
    <w:name w:val="Hyperlink"/>
    <w:uiPriority w:val="99"/>
    <w:unhideWhenUsed/>
    <w:rPr>
      <w:color w:val="0000ff" w:themeColor="hyperlink"/>
      <w:u w:val="single"/>
    </w:rPr>
  </w:style>
  <w:style w:type="paragraph" w:styleId="886">
    <w:name w:val="footnote text"/>
    <w:basedOn w:val="902"/>
    <w:link w:val="887"/>
    <w:uiPriority w:val="99"/>
    <w:semiHidden/>
    <w:unhideWhenUsed/>
    <w:pPr>
      <w:spacing w:after="40" w:line="240" w:lineRule="auto"/>
    </w:pPr>
    <w:rPr>
      <w:sz w:val="18"/>
    </w:rPr>
  </w:style>
  <w:style w:type="character" w:styleId="887">
    <w:name w:val="Footnote Text Char"/>
    <w:link w:val="886"/>
    <w:uiPriority w:val="99"/>
    <w:rPr>
      <w:sz w:val="18"/>
    </w:rPr>
  </w:style>
  <w:style w:type="character" w:styleId="888">
    <w:name w:val="footnote reference"/>
    <w:basedOn w:val="905"/>
    <w:uiPriority w:val="99"/>
    <w:unhideWhenUsed/>
    <w:rPr>
      <w:vertAlign w:val="superscript"/>
    </w:rPr>
  </w:style>
  <w:style w:type="paragraph" w:styleId="889">
    <w:name w:val="endnote text"/>
    <w:basedOn w:val="902"/>
    <w:link w:val="890"/>
    <w:uiPriority w:val="99"/>
    <w:semiHidden/>
    <w:unhideWhenUsed/>
    <w:pPr>
      <w:spacing w:after="0" w:line="240" w:lineRule="auto"/>
    </w:pPr>
    <w:rPr>
      <w:sz w:val="20"/>
    </w:rPr>
  </w:style>
  <w:style w:type="character" w:styleId="890">
    <w:name w:val="Endnote Text Char"/>
    <w:link w:val="889"/>
    <w:uiPriority w:val="99"/>
    <w:rPr>
      <w:sz w:val="20"/>
    </w:rPr>
  </w:style>
  <w:style w:type="character" w:styleId="891">
    <w:name w:val="endnote reference"/>
    <w:basedOn w:val="905"/>
    <w:uiPriority w:val="99"/>
    <w:semiHidden/>
    <w:unhideWhenUsed/>
    <w:rPr>
      <w:vertAlign w:val="superscript"/>
    </w:rPr>
  </w:style>
  <w:style w:type="paragraph" w:styleId="892">
    <w:name w:val="toc 2"/>
    <w:basedOn w:val="902"/>
    <w:next w:val="902"/>
    <w:uiPriority w:val="39"/>
    <w:unhideWhenUsed/>
    <w:pPr>
      <w:ind w:left="283" w:right="0" w:firstLine="0"/>
      <w:spacing w:after="57"/>
    </w:pPr>
  </w:style>
  <w:style w:type="paragraph" w:styleId="893">
    <w:name w:val="toc 3"/>
    <w:basedOn w:val="902"/>
    <w:next w:val="902"/>
    <w:uiPriority w:val="39"/>
    <w:unhideWhenUsed/>
    <w:pPr>
      <w:ind w:left="567" w:right="0" w:firstLine="0"/>
      <w:spacing w:after="57"/>
    </w:pPr>
  </w:style>
  <w:style w:type="paragraph" w:styleId="894">
    <w:name w:val="toc 4"/>
    <w:basedOn w:val="902"/>
    <w:next w:val="902"/>
    <w:uiPriority w:val="39"/>
    <w:unhideWhenUsed/>
    <w:pPr>
      <w:ind w:left="850" w:right="0" w:firstLine="0"/>
      <w:spacing w:after="57"/>
    </w:pPr>
  </w:style>
  <w:style w:type="paragraph" w:styleId="895">
    <w:name w:val="toc 5"/>
    <w:basedOn w:val="902"/>
    <w:next w:val="902"/>
    <w:uiPriority w:val="39"/>
    <w:unhideWhenUsed/>
    <w:pPr>
      <w:ind w:left="1134" w:right="0" w:firstLine="0"/>
      <w:spacing w:after="57"/>
    </w:pPr>
  </w:style>
  <w:style w:type="paragraph" w:styleId="896">
    <w:name w:val="toc 6"/>
    <w:basedOn w:val="902"/>
    <w:next w:val="902"/>
    <w:uiPriority w:val="39"/>
    <w:unhideWhenUsed/>
    <w:pPr>
      <w:ind w:left="1417" w:right="0" w:firstLine="0"/>
      <w:spacing w:after="57"/>
    </w:pPr>
  </w:style>
  <w:style w:type="paragraph" w:styleId="897">
    <w:name w:val="toc 7"/>
    <w:basedOn w:val="902"/>
    <w:next w:val="902"/>
    <w:uiPriority w:val="39"/>
    <w:unhideWhenUsed/>
    <w:pPr>
      <w:ind w:left="1701" w:right="0" w:firstLine="0"/>
      <w:spacing w:after="57"/>
    </w:pPr>
  </w:style>
  <w:style w:type="paragraph" w:styleId="898">
    <w:name w:val="toc 8"/>
    <w:basedOn w:val="902"/>
    <w:next w:val="902"/>
    <w:uiPriority w:val="39"/>
    <w:unhideWhenUsed/>
    <w:pPr>
      <w:ind w:left="1984" w:right="0" w:firstLine="0"/>
      <w:spacing w:after="57"/>
    </w:pPr>
  </w:style>
  <w:style w:type="paragraph" w:styleId="899">
    <w:name w:val="toc 9"/>
    <w:basedOn w:val="902"/>
    <w:next w:val="902"/>
    <w:uiPriority w:val="39"/>
    <w:unhideWhenUsed/>
    <w:pPr>
      <w:ind w:left="2268" w:right="0" w:firstLine="0"/>
      <w:spacing w:after="57"/>
    </w:pPr>
  </w:style>
  <w:style w:type="paragraph" w:styleId="900">
    <w:name w:val="TOC Heading"/>
    <w:uiPriority w:val="39"/>
    <w:unhideWhenUsed/>
  </w:style>
  <w:style w:type="paragraph" w:styleId="901">
    <w:name w:val="table of figures"/>
    <w:basedOn w:val="902"/>
    <w:next w:val="902"/>
    <w:uiPriority w:val="99"/>
    <w:unhideWhenUsed/>
    <w:pPr>
      <w:spacing w:after="0" w:afterAutospacing="0"/>
    </w:pPr>
  </w:style>
  <w:style w:type="paragraph" w:styleId="902"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03">
    <w:name w:val="Heading 2"/>
    <w:basedOn w:val="902"/>
    <w:next w:val="902"/>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904">
    <w:name w:val="Heading 3"/>
    <w:basedOn w:val="902"/>
    <w:next w:val="902"/>
    <w:uiPriority w:val="0"/>
    <w:qFormat/>
    <w:pPr>
      <w:keepLines/>
      <w:keepNext/>
      <w:spacing w:before="260" w:after="260" w:line="416" w:lineRule="auto"/>
      <w:outlineLvl w:val="2"/>
    </w:pPr>
    <w:rPr>
      <w:rFonts w:eastAsia="仿宋_GB2312"/>
      <w:b/>
      <w:bCs/>
      <w:sz w:val="28"/>
      <w:szCs w:val="32"/>
    </w:rPr>
  </w:style>
  <w:style w:type="character" w:styleId="905" w:default="1">
    <w:name w:val="Default Paragraph Font"/>
    <w:uiPriority w:val="1"/>
    <w:semiHidden/>
    <w:unhideWhenUsed/>
    <w:qFormat/>
  </w:style>
  <w:style w:type="table" w:styleId="906" w:default="1">
    <w:name w:val="Normal Table"/>
    <w:uiPriority w:val="99"/>
    <w:semiHidden/>
    <w:unhideWhenUsed/>
    <w:qFormat/>
    <w:tblPr>
      <w:tblCellMar>
        <w:left w:w="108" w:type="dxa"/>
        <w:top w:w="0" w:type="dxa"/>
        <w:right w:w="108" w:type="dxa"/>
        <w:bottom w:w="0" w:type="dxa"/>
      </w:tblCellMar>
    </w:tblPr>
  </w:style>
  <w:style w:type="paragraph" w:styleId="907">
    <w:name w:val="annotation text"/>
    <w:basedOn w:val="902"/>
    <w:uiPriority w:val="99"/>
    <w:semiHidden/>
    <w:unhideWhenUsed/>
    <w:qFormat/>
    <w:pPr>
      <w:jc w:val="left"/>
    </w:pPr>
  </w:style>
  <w:style w:type="paragraph" w:styleId="908">
    <w:name w:val="Body Text"/>
    <w:basedOn w:val="902"/>
    <w:uiPriority w:val="99"/>
    <w:unhideWhenUsed/>
    <w:qFormat/>
    <w:pPr>
      <w:spacing w:after="120"/>
    </w:pPr>
  </w:style>
  <w:style w:type="paragraph" w:styleId="909">
    <w:name w:val="Body Text Indent"/>
    <w:basedOn w:val="902"/>
    <w:next w:val="910"/>
    <w:uiPriority w:val="0"/>
    <w:qFormat/>
    <w:pPr>
      <w:ind w:left="420"/>
      <w:spacing w:after="120"/>
    </w:pPr>
    <w:rPr>
      <w:rFonts w:ascii="Calibri" w:hAnsi="Calibri"/>
    </w:rPr>
  </w:style>
  <w:style w:type="paragraph" w:styleId="910">
    <w:name w:val="envelope return"/>
    <w:basedOn w:val="902"/>
    <w:uiPriority w:val="0"/>
    <w:qFormat/>
    <w:rPr>
      <w:rFonts w:ascii="Arial" w:hAnsi="Arial"/>
    </w:rPr>
  </w:style>
  <w:style w:type="paragraph" w:styleId="911">
    <w:name w:val="Block Text"/>
    <w:basedOn w:val="902"/>
    <w:uiPriority w:val="0"/>
    <w:qFormat/>
    <w:pPr>
      <w:ind w:left="735" w:right="-332" w:hanging="46"/>
      <w:spacing w:line="360" w:lineRule="auto"/>
    </w:pPr>
    <w:rPr>
      <w:bCs/>
      <w:color w:val="000000"/>
    </w:rPr>
  </w:style>
  <w:style w:type="paragraph" w:styleId="912">
    <w:name w:val="Plain Text"/>
    <w:basedOn w:val="902"/>
    <w:uiPriority w:val="0"/>
    <w:unhideWhenUsed/>
    <w:qFormat/>
    <w:rPr>
      <w:rFonts w:ascii="宋体" w:hAnsi="Courier New" w:cs="Courier New"/>
      <w:sz w:val="24"/>
      <w:szCs w:val="21"/>
    </w:rPr>
  </w:style>
  <w:style w:type="paragraph" w:styleId="913">
    <w:name w:val="Balloon Text"/>
    <w:basedOn w:val="902"/>
    <w:link w:val="944"/>
    <w:uiPriority w:val="0"/>
    <w:qFormat/>
    <w:rPr>
      <w:sz w:val="18"/>
      <w:szCs w:val="18"/>
    </w:rPr>
  </w:style>
  <w:style w:type="paragraph" w:styleId="914">
    <w:name w:val="Footer"/>
    <w:basedOn w:val="902"/>
    <w:uiPriority w:val="99"/>
    <w:unhideWhenUsed/>
    <w:qFormat/>
    <w:pPr>
      <w:tabs>
        <w:tab w:val="center" w:pos="7143" w:leader="none"/>
        <w:tab w:val="right" w:pos="14287" w:leader="none"/>
      </w:tabs>
    </w:pPr>
  </w:style>
  <w:style w:type="paragraph" w:styleId="915">
    <w:name w:val="toc 1"/>
    <w:basedOn w:val="902"/>
    <w:next w:val="902"/>
    <w:uiPriority w:val="39"/>
    <w:unhideWhenUsed/>
    <w:qFormat/>
    <w:pPr>
      <w:spacing w:after="57"/>
    </w:pPr>
  </w:style>
  <w:style w:type="paragraph" w:styleId="916">
    <w:name w:val="Normal (Web)"/>
    <w:basedOn w:val="902"/>
    <w:uiPriority w:val="0"/>
    <w:qFormat/>
    <w:pPr>
      <w:jc w:val="left"/>
      <w:spacing w:beforeAutospacing="1" w:afterAutospacing="1"/>
    </w:pPr>
    <w:rPr>
      <w:sz w:val="24"/>
    </w:rPr>
  </w:style>
  <w:style w:type="table" w:styleId="91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18" w:customStyle="1">
    <w:name w:val="正文缩进1"/>
    <w:basedOn w:val="902"/>
    <w:uiPriority w:val="0"/>
    <w:qFormat/>
    <w:pPr>
      <w:ind w:firstLine="420"/>
    </w:pPr>
  </w:style>
  <w:style w:type="paragraph" w:styleId="919" w:customStyle="1">
    <w:name w:val="段"/>
    <w:basedOn w:val="920"/>
    <w:next w:val="902"/>
    <w:uiPriority w:val="0"/>
    <w:qFormat/>
    <w:pPr>
      <w:ind w:firstLine="200"/>
      <w:widowControl/>
    </w:pPr>
    <w:rPr>
      <w:sz w:val="20"/>
    </w:rPr>
  </w:style>
  <w:style w:type="paragraph" w:styleId="920" w:customStyle="1">
    <w:name w:val="正文1"/>
    <w:basedOn w:val="921"/>
    <w:next w:val="925"/>
    <w:uiPriority w:val="0"/>
    <w:qFormat/>
    <w:pPr>
      <w:jc w:val="left"/>
      <w:spacing w:line="360" w:lineRule="atLeast"/>
    </w:pPr>
    <w:rPr>
      <w:rFonts w:ascii="宋体" w:hAnsi="Calibri"/>
      <w:sz w:val="24"/>
      <w:szCs w:val="20"/>
    </w:rPr>
  </w:style>
  <w:style w:type="paragraph" w:styleId="921" w:customStyle="1">
    <w:name w:val="正文11"/>
    <w:next w:val="922"/>
    <w:uiPriority w:val="0"/>
    <w:qFormat/>
    <w:pPr>
      <w:jc w:val="both"/>
      <w:widowControl w:val="off"/>
    </w:pPr>
    <w:rPr>
      <w:rFonts w:ascii="Times New Roman" w:hAnsi="Times New Roman" w:eastAsia="宋体" w:cs="Times New Roman"/>
      <w:sz w:val="21"/>
      <w:szCs w:val="24"/>
      <w:lang w:val="en-US" w:eastAsia="zh-CN" w:bidi="ar-SA"/>
    </w:rPr>
  </w:style>
  <w:style w:type="paragraph" w:styleId="922" w:customStyle="1">
    <w:name w:val="目录 11"/>
    <w:basedOn w:val="923"/>
    <w:next w:val="921"/>
    <w:uiPriority w:val="0"/>
    <w:qFormat/>
    <w:pPr>
      <w:jc w:val="left"/>
      <w:spacing w:after="100" w:line="259" w:lineRule="auto"/>
      <w:widowControl/>
    </w:pPr>
    <w:rPr>
      <w:rFonts w:ascii="Calibri" w:hAnsi="Calibri"/>
      <w:sz w:val="22"/>
      <w:szCs w:val="22"/>
    </w:rPr>
  </w:style>
  <w:style w:type="paragraph" w:styleId="923" w:customStyle="1">
    <w:name w:val="正文12"/>
    <w:next w:val="924"/>
    <w:uiPriority w:val="0"/>
    <w:qFormat/>
    <w:pPr>
      <w:jc w:val="both"/>
      <w:widowControl w:val="off"/>
    </w:pPr>
    <w:rPr>
      <w:rFonts w:hint="default" w:ascii="Calibri" w:hAnsi="Calibri" w:eastAsia="宋体" w:cs="Times New Roman"/>
      <w:sz w:val="21"/>
      <w:szCs w:val="24"/>
      <w:lang w:val="en-US" w:eastAsia="zh-CN" w:bidi="ar-SA"/>
    </w:rPr>
  </w:style>
  <w:style w:type="paragraph" w:styleId="924" w:customStyle="1">
    <w:name w:val="文本块11"/>
    <w:basedOn w:val="902"/>
    <w:uiPriority w:val="6"/>
    <w:qFormat/>
    <w:pPr>
      <w:ind w:left="256" w:right="6" w:firstLine="624"/>
    </w:pPr>
    <w:rPr>
      <w:rFonts w:eastAsia="仿宋"/>
      <w:sz w:val="28"/>
      <w:szCs w:val="20"/>
    </w:rPr>
  </w:style>
  <w:style w:type="paragraph" w:styleId="925" w:customStyle="1">
    <w:name w:val="正文文本1"/>
    <w:basedOn w:val="920"/>
    <w:next w:val="920"/>
    <w:uiPriority w:val="0"/>
    <w:qFormat/>
    <w:pPr>
      <w:spacing w:after="120"/>
    </w:pPr>
    <w:rPr>
      <w:rFonts w:ascii="Calibri"/>
    </w:rPr>
  </w:style>
  <w:style w:type="paragraph" w:styleId="926" w:customStyle="1">
    <w:name w:val="正文111"/>
    <w:next w:val="902"/>
    <w:uiPriority w:val="0"/>
    <w:qFormat/>
    <w:pPr>
      <w:jc w:val="both"/>
      <w:widowControl w:val="off"/>
    </w:pPr>
    <w:rPr>
      <w:rFonts w:ascii="Times New Roman" w:hAnsi="Times New Roman" w:eastAsia="宋体" w:cs="Times New Roman"/>
      <w:sz w:val="21"/>
      <w:szCs w:val="24"/>
      <w:lang w:val="en-US" w:eastAsia="zh-CN" w:bidi="ar-SA"/>
    </w:rPr>
  </w:style>
  <w:style w:type="paragraph" w:styleId="927" w:customStyle="1">
    <w:name w:val="目录 111"/>
    <w:basedOn w:val="920"/>
    <w:next w:val="902"/>
    <w:uiPriority w:val="0"/>
    <w:qFormat/>
    <w:pPr>
      <w:jc w:val="left"/>
      <w:spacing w:after="100" w:line="259" w:lineRule="auto"/>
      <w:widowControl/>
    </w:pPr>
    <w:rPr>
      <w:rFonts w:ascii="Calibri" w:hAnsi="Calibri"/>
      <w:sz w:val="22"/>
      <w:szCs w:val="22"/>
    </w:rPr>
  </w:style>
  <w:style w:type="paragraph" w:styleId="928" w:customStyle="1">
    <w:name w:val="脚注文本1"/>
    <w:basedOn w:val="920"/>
    <w:next w:val="929"/>
    <w:uiPriority w:val="0"/>
    <w:qFormat/>
    <w:rPr>
      <w:rFonts w:eastAsia="Times New Roman"/>
      <w:sz w:val="18"/>
      <w:szCs w:val="18"/>
    </w:rPr>
  </w:style>
  <w:style w:type="paragraph" w:styleId="929" w:customStyle="1">
    <w:name w:val="索引 51"/>
    <w:basedOn w:val="920"/>
    <w:next w:val="920"/>
    <w:uiPriority w:val="0"/>
    <w:qFormat/>
    <w:pPr>
      <w:ind w:left="798"/>
    </w:pPr>
    <w:rPr>
      <w:rFonts w:ascii="Calibri"/>
    </w:rPr>
  </w:style>
  <w:style w:type="paragraph" w:styleId="930" w:customStyle="1">
    <w:name w:val="文本块2"/>
    <w:basedOn w:val="902"/>
    <w:uiPriority w:val="99"/>
    <w:unhideWhenUsed/>
    <w:qFormat/>
    <w:pPr>
      <w:ind w:left="1440" w:right="1440"/>
      <w:spacing w:after="120"/>
    </w:pPr>
  </w:style>
  <w:style w:type="character" w:styleId="931" w:customStyle="1">
    <w:name w:val="超链接1"/>
    <w:uiPriority w:val="99"/>
    <w:unhideWhenUsed/>
    <w:qFormat/>
    <w:rPr>
      <w:color w:val="0000ff"/>
      <w:u w:val="single"/>
    </w:rPr>
  </w:style>
  <w:style w:type="paragraph" w:styleId="932" w:customStyle="1">
    <w:name w:val="标题 21"/>
    <w:basedOn w:val="902"/>
    <w:next w:val="902"/>
    <w:uiPriority w:val="0"/>
    <w:qFormat/>
    <w:pPr>
      <w:jc w:val="left"/>
      <w:keepLines/>
      <w:keepNext/>
      <w:spacing w:before="50"/>
      <w:tabs>
        <w:tab w:val="left" w:pos="0" w:leader="none"/>
      </w:tabs>
    </w:pPr>
    <w:rPr>
      <w:rFonts w:ascii="Arial" w:hAnsi="Arial" w:eastAsia="黑体"/>
      <w:sz w:val="32"/>
      <w:szCs w:val="20"/>
    </w:rPr>
  </w:style>
  <w:style w:type="character" w:styleId="933" w:customStyle="1">
    <w:name w:val="NormalCharacter1"/>
    <w:uiPriority w:val="0"/>
    <w:semiHidden/>
    <w:qFormat/>
    <w:rPr>
      <w:sz w:val="28"/>
      <w:lang w:val="en-US" w:eastAsia="zh-CN" w:bidi="ar-SA"/>
    </w:rPr>
  </w:style>
  <w:style w:type="paragraph" w:styleId="934" w:customStyle="1">
    <w:name w:val="正文文本缩进1"/>
    <w:basedOn w:val="921"/>
    <w:next w:val="935"/>
    <w:uiPriority w:val="0"/>
    <w:qFormat/>
    <w:pPr>
      <w:ind w:left="420"/>
      <w:spacing w:after="120"/>
    </w:pPr>
    <w:rPr>
      <w:rFonts w:ascii="Calibri" w:hAnsi="Calibri"/>
    </w:rPr>
  </w:style>
  <w:style w:type="paragraph" w:styleId="935" w:customStyle="1">
    <w:name w:val="寄信人地址1"/>
    <w:basedOn w:val="921"/>
    <w:uiPriority w:val="0"/>
    <w:qFormat/>
    <w:rPr>
      <w:rFonts w:ascii="Arial" w:hAnsi="Arial"/>
    </w:rPr>
  </w:style>
  <w:style w:type="paragraph" w:styleId="936" w:customStyle="1">
    <w:name w:val="正文文本11"/>
    <w:basedOn w:val="937"/>
    <w:next w:val="938"/>
    <w:uiPriority w:val="99"/>
    <w:qFormat/>
    <w:pPr>
      <w:spacing w:after="120"/>
    </w:pPr>
    <w:rPr>
      <w:rFonts w:ascii="Calibri" w:hAnsi="Calibri"/>
    </w:rPr>
  </w:style>
  <w:style w:type="paragraph" w:styleId="937" w:customStyle="1">
    <w:name w:val="正文112"/>
    <w:next w:val="93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8" w:customStyle="1">
    <w:name w:val="一级条标题"/>
    <w:basedOn w:val="939"/>
    <w:next w:val="91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39" w:customStyle="1">
    <w:name w:val="章标题"/>
    <w:next w:val="920"/>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40" w:customStyle="1">
    <w:name w:val="正文首行缩进 211"/>
    <w:basedOn w:val="941"/>
    <w:uiPriority w:val="0"/>
    <w:qFormat/>
    <w:pPr>
      <w:ind w:firstLine="420"/>
    </w:pPr>
  </w:style>
  <w:style w:type="paragraph" w:styleId="941" w:customStyle="1">
    <w:name w:val="正文文本缩进11"/>
    <w:basedOn w:val="902"/>
    <w:uiPriority w:val="0"/>
    <w:qFormat/>
    <w:pPr>
      <w:ind w:left="420"/>
      <w:spacing w:after="120"/>
    </w:pPr>
  </w:style>
  <w:style w:type="paragraph" w:styleId="942" w:customStyle="1">
    <w:name w:val="页眉1"/>
    <w:basedOn w:val="902"/>
    <w:uiPriority w:val="99"/>
    <w:qFormat/>
    <w:pPr>
      <w:jc w:val="center"/>
      <w:tabs>
        <w:tab w:val="center" w:pos="4153" w:leader="none"/>
        <w:tab w:val="right" w:pos="8306" w:leader="none"/>
      </w:tabs>
      <w:pBdr>
        <w:bottom w:val="single" w:color="000000" w:sz="6" w:space="1"/>
      </w:pBdr>
    </w:pPr>
    <w:rPr>
      <w:sz w:val="18"/>
      <w:szCs w:val="18"/>
    </w:rPr>
  </w:style>
  <w:style w:type="paragraph" w:styleId="943" w:customStyle="1">
    <w:name w:val="页脚1"/>
    <w:basedOn w:val="902"/>
    <w:uiPriority w:val="99"/>
    <w:qFormat/>
    <w:pPr>
      <w:jc w:val="left"/>
      <w:tabs>
        <w:tab w:val="center" w:pos="4153" w:leader="none"/>
        <w:tab w:val="right" w:pos="8306" w:leader="none"/>
      </w:tabs>
    </w:pPr>
    <w:rPr>
      <w:sz w:val="18"/>
      <w:szCs w:val="18"/>
    </w:rPr>
  </w:style>
  <w:style w:type="character" w:styleId="944" w:customStyle="1">
    <w:name w:val="批注框文本 Char"/>
    <w:basedOn w:val="905"/>
    <w:link w:val="913"/>
    <w:uiPriority w:val="0"/>
    <w:qFormat/>
    <w:rPr>
      <w:rFonts w:ascii="Times New Roman" w:hAnsi="Times New Roman" w:eastAsia="宋体" w:cs="Times New Roman"/>
      <w:sz w:val="18"/>
      <w:szCs w:val="18"/>
    </w:rPr>
  </w:style>
  <w:style w:type="paragraph" w:styleId="945" w:customStyle="1">
    <w:name w:val="列表段落1"/>
    <w:basedOn w:val="920"/>
    <w:next w:val="902"/>
    <w:uiPriority w:val="99"/>
    <w:qFormat/>
    <w:pPr>
      <w:ind w:firstLine="420"/>
    </w:pPr>
  </w:style>
  <w:style w:type="paragraph" w:styleId="946" w:customStyle="1">
    <w:name w:val="纯文本1"/>
    <w:basedOn w:val="926"/>
    <w:uiPriority w:val="0"/>
    <w:qFormat/>
    <w:rPr>
      <w:rFonts w:ascii="宋体" w:hAnsi="Courier New"/>
      <w:szCs w:val="21"/>
    </w:rPr>
  </w:style>
  <w:style w:type="paragraph" w:styleId="947">
    <w:name w:val="List Paragraph"/>
    <w:basedOn w:val="902"/>
    <w:uiPriority w:val="1"/>
    <w:qFormat/>
    <w:pPr>
      <w:ind w:firstLine="420"/>
    </w:pPr>
  </w:style>
  <w:style w:type="numbering" w:styleId="94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png"/><Relationship Id="rId15"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Sourire</dc:creator>
  <cp:lastModifiedBy>宋涛</cp:lastModifiedBy>
  <cp:revision>13</cp:revision>
  <dcterms:created xsi:type="dcterms:W3CDTF">2025-04-24T05:21:00Z</dcterms:created>
  <dcterms:modified xsi:type="dcterms:W3CDTF">2025-12-29T08:23:43Z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312566542C5E44FAA96803BCFF3AC840_11</vt:lpwstr>
  </property>
  <property fmtid="{D5CDD505-2E9C-101B-9397-08002B2CF9AE}" pid="4" name="KSOTemplateDocerSaveRecord">
    <vt:lpwstr>eyJoZGlkIjoiOThkY2YxMTQ2MGExNzQyNzM1NDMwOGRhODRmMTU2ZTUiLCJ1c2VySWQiOiIzMDM4NTU2ODgifQ==</vt:lpwstr>
  </property>
</Properties>
</file>